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w:t>
      </w:r>
      <w:r>
        <w:rPr>
          <w:rFonts w:hint="eastAsia" w:eastAsia="宋体"/>
          <w:sz w:val="24"/>
          <w:szCs w:val="24"/>
          <w:lang w:val="en-US" w:eastAsia="zh-CN"/>
        </w:rPr>
        <w:t>3</w:t>
      </w:r>
      <w:r>
        <w:rPr>
          <w:sz w:val="24"/>
          <w:szCs w:val="24"/>
        </w:rPr>
        <w:tab/>
      </w:r>
      <w:r>
        <w:rPr>
          <w:sz w:val="24"/>
          <w:szCs w:val="24"/>
        </w:rPr>
        <w:t>R2-2</w:t>
      </w:r>
      <w:r>
        <w:rPr>
          <w:rFonts w:hint="eastAsia" w:eastAsia="宋体"/>
          <w:sz w:val="24"/>
          <w:szCs w:val="24"/>
          <w:lang w:val="en-US" w:eastAsia="zh-CN"/>
        </w:rPr>
        <w:t>308099</w:t>
      </w:r>
    </w:p>
    <w:p>
      <w:pPr>
        <w:pStyle w:val="33"/>
        <w:tabs>
          <w:tab w:val="left" w:pos="1701"/>
          <w:tab w:val="right" w:pos="9923"/>
        </w:tabs>
        <w:rPr>
          <w:sz w:val="24"/>
          <w:szCs w:val="24"/>
        </w:rPr>
      </w:pPr>
      <w:r>
        <w:rPr>
          <w:rFonts w:hint="eastAsia" w:eastAsia="宋体"/>
          <w:sz w:val="24"/>
          <w:szCs w:val="24"/>
          <w:lang w:val="en-US" w:eastAsia="zh-CN"/>
        </w:rPr>
        <w:t>Toulouse</w:t>
      </w:r>
      <w:r>
        <w:rPr>
          <w:sz w:val="24"/>
          <w:szCs w:val="24"/>
        </w:rPr>
        <w:t xml:space="preserve">, </w:t>
      </w:r>
      <w:r>
        <w:rPr>
          <w:rFonts w:hint="eastAsia" w:eastAsia="宋体"/>
          <w:sz w:val="24"/>
          <w:szCs w:val="24"/>
          <w:lang w:val="en-US" w:eastAsia="zh-CN"/>
        </w:rPr>
        <w:t>France</w:t>
      </w:r>
      <w:r>
        <w:rPr>
          <w:sz w:val="24"/>
          <w:szCs w:val="24"/>
        </w:rPr>
        <w:t xml:space="preserve">, </w:t>
      </w:r>
      <w:r>
        <w:rPr>
          <w:rFonts w:hint="eastAsia" w:eastAsia="宋体"/>
          <w:sz w:val="24"/>
          <w:szCs w:val="24"/>
          <w:lang w:val="en-US" w:eastAsia="zh-CN"/>
        </w:rPr>
        <w:t>August</w:t>
      </w:r>
      <w:r>
        <w:rPr>
          <w:sz w:val="24"/>
          <w:szCs w:val="24"/>
        </w:rPr>
        <w:t xml:space="preserve"> 2</w:t>
      </w:r>
      <w:r>
        <w:rPr>
          <w:rFonts w:hint="eastAsia" w:eastAsia="宋体"/>
          <w:sz w:val="24"/>
          <w:szCs w:val="24"/>
          <w:lang w:val="en-US" w:eastAsia="zh-CN"/>
        </w:rPr>
        <w:t>1</w:t>
      </w:r>
      <w:r>
        <w:rPr>
          <w:sz w:val="24"/>
          <w:szCs w:val="24"/>
        </w:rPr>
        <w:t>-2</w:t>
      </w:r>
      <w:r>
        <w:rPr>
          <w:rFonts w:hint="eastAsia" w:eastAsia="宋体"/>
          <w:sz w:val="24"/>
          <w:szCs w:val="24"/>
          <w:lang w:val="en-US" w:eastAsia="zh-CN"/>
        </w:rPr>
        <w:t>5</w:t>
      </w:r>
      <w:r>
        <w:rPr>
          <w:sz w:val="24"/>
          <w:szCs w:val="24"/>
        </w:rPr>
        <w:t>, 2023</w:t>
      </w:r>
    </w:p>
    <w:p>
      <w:pPr>
        <w:pStyle w:val="32"/>
        <w:jc w:val="both"/>
        <w:rPr>
          <w:rFonts w:eastAsia="宋体"/>
          <w:b w:val="0"/>
          <w:i w:val="0"/>
          <w:sz w:val="24"/>
          <w:lang w:eastAsia="zh-CN"/>
        </w:rPr>
      </w:pP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 xml:space="preserve">Discussion on remaining issues for </w:t>
      </w:r>
      <w:r>
        <w:rPr>
          <w:rFonts w:ascii="Arial" w:hAnsi="Arial"/>
          <w:b/>
          <w:sz w:val="24"/>
          <w:lang w:val="en-US" w:eastAsia="zh-CN"/>
        </w:rPr>
        <w:t>mobile IAB</w:t>
      </w:r>
    </w:p>
    <w:p>
      <w:pPr>
        <w:tabs>
          <w:tab w:val="left" w:pos="1985"/>
        </w:tabs>
        <w:jc w:val="both"/>
        <w:rPr>
          <w:rStyle w:val="160"/>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3</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spacing w:before="156" w:beforeLines="50"/>
        <w:jc w:val="both"/>
        <w:rPr>
          <w:lang w:val="en-US" w:eastAsia="zh-CN"/>
        </w:rPr>
      </w:pPr>
      <w:r>
        <w:rPr>
          <w:lang w:val="en-US" w:eastAsia="zh-CN"/>
        </w:rPr>
        <w:t xml:space="preserve">In this paper, we will analyze </w:t>
      </w:r>
      <w:r>
        <w:rPr>
          <w:rFonts w:hint="eastAsia"/>
          <w:lang w:val="en-US" w:eastAsia="zh-CN"/>
        </w:rPr>
        <w:t>the remaining issues for the support of mobile IAB, such as BAP, PCI collision and ANR</w:t>
      </w:r>
      <w:r>
        <w:rPr>
          <w:lang w:val="en-US" w:eastAsia="zh-CN"/>
        </w:rPr>
        <w:t>.</w:t>
      </w:r>
    </w:p>
    <w:p>
      <w:pPr>
        <w:pStyle w:val="2"/>
        <w:jc w:val="both"/>
        <w:rPr>
          <w:lang w:eastAsia="zh-CN"/>
        </w:rPr>
      </w:pPr>
      <w:r>
        <w:rPr>
          <w:rFonts w:hint="eastAsia" w:eastAsia="宋体"/>
          <w:lang w:eastAsia="zh-CN"/>
        </w:rPr>
        <w:t>Discussion</w:t>
      </w:r>
    </w:p>
    <w:p>
      <w:pPr>
        <w:pStyle w:val="3"/>
        <w:bidi w:val="0"/>
        <w:rPr>
          <w:rFonts w:hint="eastAsia"/>
          <w:lang w:val="en-US" w:eastAsia="zh-CN"/>
        </w:rPr>
      </w:pPr>
      <w:r>
        <w:rPr>
          <w:rFonts w:hint="eastAsia"/>
          <w:lang w:val="en-US" w:eastAsia="zh-CN"/>
        </w:rPr>
        <w:t>BAP impact</w:t>
      </w:r>
    </w:p>
    <w:p>
      <w:pPr>
        <w:rPr>
          <w:rFonts w:hint="default"/>
          <w:lang w:val="en-US" w:eastAsia="zh-CN"/>
        </w:rPr>
      </w:pPr>
      <w:r>
        <w:rPr>
          <w:rFonts w:hint="eastAsia"/>
          <w:lang w:val="en-US" w:eastAsia="zh-CN"/>
        </w:rPr>
        <w:t>During the last RAN2 meeting, the BAP impact was discussed and the following agreement was reached: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08"/>
              <w:numPr>
                <w:ilvl w:val="0"/>
                <w:numId w:val="0"/>
              </w:numPr>
              <w:rPr>
                <w:rFonts w:hint="default" w:ascii="Times New Roman" w:hAnsi="Times New Roman" w:eastAsia="Times New Roman" w:cs="Times New Roman"/>
                <w:b w:val="0"/>
                <w:sz w:val="20"/>
                <w:szCs w:val="20"/>
              </w:rPr>
            </w:pPr>
            <w:r>
              <w:rPr>
                <w:rFonts w:hint="default" w:ascii="Times New Roman" w:hAnsi="Times New Roman" w:eastAsia="Times New Roman" w:cs="Times New Roman"/>
                <w:b w:val="0"/>
                <w:sz w:val="20"/>
                <w:szCs w:val="20"/>
              </w:rPr>
              <w:t>RAN2 agreed in last meeting:</w:t>
            </w:r>
          </w:p>
          <w:p>
            <w:pPr>
              <w:pStyle w:val="108"/>
              <w:ind w:left="504"/>
              <w:rPr>
                <w:rFonts w:hint="default" w:ascii="Times New Roman" w:hAnsi="Times New Roman" w:cs="Times New Roman"/>
                <w:b w:val="0"/>
                <w:bCs/>
                <w:sz w:val="20"/>
                <w:szCs w:val="20"/>
              </w:rPr>
            </w:pPr>
            <w:r>
              <w:rPr>
                <w:rFonts w:hint="default" w:ascii="Times New Roman" w:hAnsi="Times New Roman" w:cs="Times New Roman"/>
                <w:b w:val="0"/>
                <w:bCs/>
                <w:sz w:val="20"/>
                <w:szCs w:val="20"/>
              </w:rPr>
              <w:t>RAN2 assumes that there is no need to introduce logical-DU-specific default BAP configuration in mobile IAB from RAN2 perspective, unless requested by RAN3 otherwise (no LS for now).</w:t>
            </w:r>
          </w:p>
          <w:p>
            <w:pPr>
              <w:pStyle w:val="108"/>
              <w:ind w:left="504"/>
              <w:rPr>
                <w:rFonts w:hint="default" w:ascii="Times New Roman" w:hAnsi="Times New Roman" w:cs="Times New Roman"/>
                <w:b w:val="0"/>
                <w:bCs/>
                <w:sz w:val="20"/>
                <w:szCs w:val="20"/>
              </w:rPr>
            </w:pPr>
            <w:r>
              <w:rPr>
                <w:rFonts w:hint="default" w:ascii="Times New Roman" w:hAnsi="Times New Roman" w:cs="Times New Roman"/>
                <w:b w:val="0"/>
                <w:bCs/>
                <w:sz w:val="20"/>
                <w:szCs w:val="20"/>
              </w:rPr>
              <w:t xml:space="preserve">RAN2 understands that the F1AP (re)configured BAP configuration to one DU will not impact/override the usage of default BAP configuration by another DU. </w:t>
            </w:r>
          </w:p>
          <w:p>
            <w:pPr>
              <w:pStyle w:val="108"/>
              <w:ind w:left="504"/>
              <w:rPr>
                <w:rFonts w:hint="eastAsia"/>
                <w:vertAlign w:val="baseline"/>
                <w:lang w:val="en-US" w:eastAsia="zh-CN"/>
              </w:rPr>
            </w:pPr>
            <w:r>
              <w:rPr>
                <w:rFonts w:hint="default" w:ascii="Times New Roman" w:hAnsi="Times New Roman" w:cs="Times New Roman"/>
                <w:b w:val="0"/>
                <w:bCs/>
                <w:sz w:val="20"/>
                <w:szCs w:val="20"/>
              </w:rPr>
              <w:t>P2: RAN2 assumes there may be redundant BAP configuration entries for non-F1-U traffic and it is up to IAB node's implementation to decide which entry is selected. FFS if there is any specification impact.</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cs="Times New Roman"/>
          <w:b w:val="0"/>
          <w:bCs/>
          <w:sz w:val="20"/>
          <w:szCs w:val="20"/>
          <w:lang w:val="en-US" w:eastAsia="zh-CN"/>
        </w:rPr>
      </w:pPr>
      <w:r>
        <w:rPr>
          <w:rFonts w:hint="eastAsia"/>
          <w:lang w:val="en-US" w:eastAsia="zh-CN"/>
        </w:rPr>
        <w:t>As we can see, RAN2 assumes that t</w:t>
      </w:r>
      <w:r>
        <w:rPr>
          <w:rFonts w:hint="default" w:ascii="Times New Roman" w:hAnsi="Times New Roman" w:cs="Times New Roman"/>
          <w:b w:val="0"/>
          <w:bCs/>
          <w:sz w:val="20"/>
          <w:szCs w:val="20"/>
        </w:rPr>
        <w:t xml:space="preserve">here may be redundant BAP configuration entries for non-F1-U traffic and it is up to IAB node's implementation to decide which entry is selected. </w:t>
      </w:r>
      <w:r>
        <w:rPr>
          <w:rFonts w:hint="eastAsia" w:cs="Times New Roman"/>
          <w:b w:val="0"/>
          <w:bCs/>
          <w:sz w:val="20"/>
          <w:szCs w:val="20"/>
          <w:lang w:val="en-US" w:eastAsia="zh-CN"/>
        </w:rPr>
        <w:t xml:space="preserve">It is </w:t>
      </w:r>
      <w:r>
        <w:rPr>
          <w:rFonts w:hint="default" w:ascii="Times New Roman" w:hAnsi="Times New Roman" w:cs="Times New Roman"/>
          <w:b w:val="0"/>
          <w:bCs/>
          <w:sz w:val="20"/>
          <w:szCs w:val="20"/>
        </w:rPr>
        <w:t>FFS if there is any specification impact</w:t>
      </w:r>
      <w:r>
        <w:rPr>
          <w:rFonts w:hint="eastAsia" w:cs="Times New Roman"/>
          <w:b w:val="0"/>
          <w:bCs/>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We have agreed that </w:t>
      </w:r>
      <w:r>
        <w:rPr>
          <w:rFonts w:hint="default" w:ascii="Times New Roman" w:hAnsi="Times New Roman" w:cs="Times New Roman"/>
          <w:sz w:val="20"/>
          <w:szCs w:val="20"/>
        </w:rPr>
        <w:t>F1AP BAP configuration for each logical DU should be configured/controlled by the DU’s respective donor-CU.</w:t>
      </w:r>
      <w:r>
        <w:rPr>
          <w:rFonts w:hint="default" w:ascii="Times New Roman" w:hAnsi="Times New Roman" w:eastAsia="宋体" w:cs="Times New Roman"/>
          <w:sz w:val="20"/>
          <w:szCs w:val="20"/>
          <w:lang w:val="en-US" w:eastAsia="zh-CN"/>
        </w:rPr>
        <w:t xml:space="preserve"> So it may be implemented with two </w:t>
      </w:r>
      <w:r>
        <w:rPr>
          <w:rFonts w:hint="default" w:ascii="Times New Roman" w:hAnsi="Times New Roman" w:cs="Times New Roman"/>
          <w:sz w:val="20"/>
          <w:szCs w:val="20"/>
        </w:rPr>
        <w:t>separate table</w:t>
      </w:r>
      <w:r>
        <w:rPr>
          <w:rFonts w:hint="default" w:ascii="Times New Roman" w:hAnsi="Times New Roman" w:eastAsia="宋体" w:cs="Times New Roman"/>
          <w:sz w:val="20"/>
          <w:szCs w:val="20"/>
          <w:lang w:val="en-US" w:eastAsia="zh-CN"/>
        </w:rPr>
        <w:t>s</w:t>
      </w:r>
      <w:r>
        <w:rPr>
          <w:rFonts w:hint="default" w:ascii="Times New Roman" w:hAnsi="Times New Roman" w:cs="Times New Roman"/>
          <w:sz w:val="20"/>
          <w:szCs w:val="20"/>
        </w:rPr>
        <w:t xml:space="preserve"> for the </w:t>
      </w:r>
      <w:r>
        <w:rPr>
          <w:rFonts w:hint="default" w:ascii="Times New Roman" w:hAnsi="Times New Roman" w:eastAsia="Calibri Light" w:cs="Times New Roman"/>
          <w:sz w:val="20"/>
          <w:szCs w:val="20"/>
          <w:lang w:eastAsia="ja-JP"/>
        </w:rPr>
        <w:t>Uplink</w:t>
      </w:r>
      <w:r>
        <w:rPr>
          <w:rFonts w:hint="default" w:ascii="Times New Roman" w:hAnsi="Times New Roman" w:eastAsia="Times New Roman" w:cs="Times New Roman"/>
          <w:sz w:val="20"/>
          <w:szCs w:val="20"/>
        </w:rPr>
        <w:t xml:space="preserve"> Traffic to Routing ID Mapping </w:t>
      </w:r>
      <w:r>
        <w:rPr>
          <w:rFonts w:hint="default" w:ascii="Times New Roman" w:hAnsi="Times New Roman" w:cs="Times New Roman"/>
          <w:sz w:val="20"/>
          <w:szCs w:val="20"/>
        </w:rPr>
        <w:t xml:space="preserve">configuration associated with </w:t>
      </w:r>
      <w:r>
        <w:rPr>
          <w:rFonts w:hint="default" w:ascii="Times New Roman" w:hAnsi="Times New Roman" w:eastAsia="宋体" w:cs="Times New Roman"/>
          <w:sz w:val="20"/>
          <w:szCs w:val="20"/>
          <w:lang w:val="en-US" w:eastAsia="zh-CN"/>
        </w:rPr>
        <w:t>two</w:t>
      </w:r>
      <w:r>
        <w:rPr>
          <w:rFonts w:hint="default" w:ascii="Times New Roman" w:hAnsi="Times New Roman" w:cs="Times New Roman"/>
          <w:sz w:val="20"/>
          <w:szCs w:val="20"/>
        </w:rPr>
        <w:t xml:space="preserve"> donor</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rPr>
        <w:t>CU</w:t>
      </w:r>
      <w:r>
        <w:rPr>
          <w:rFonts w:hint="default" w:ascii="Times New Roman" w:hAnsi="Times New Roman" w:eastAsia="宋体" w:cs="Times New Roman"/>
          <w:sz w:val="20"/>
          <w:szCs w:val="20"/>
          <w:lang w:val="en-US" w:eastAsia="zh-CN"/>
        </w:rPr>
        <w:t>s respectively</w:t>
      </w:r>
      <w:r>
        <w:rPr>
          <w:rFonts w:hint="default" w:ascii="Times New Roman" w:hAnsi="Times New Roman" w:cs="Times New Roman"/>
          <w:sz w:val="20"/>
          <w:szCs w:val="20"/>
        </w:rPr>
        <w:t>. And logical DU may determine whether the non-F1-U traffic is f</w:t>
      </w:r>
      <w:r>
        <w:rPr>
          <w:rFonts w:hint="default" w:ascii="Times New Roman" w:hAnsi="Times New Roman" w:eastAsia="宋体" w:cs="Times New Roman"/>
          <w:sz w:val="20"/>
          <w:szCs w:val="20"/>
          <w:lang w:val="en-US" w:eastAsia="zh-CN"/>
        </w:rPr>
        <w:t>rom</w:t>
      </w:r>
      <w:r>
        <w:rPr>
          <w:rFonts w:hint="default" w:ascii="Times New Roman" w:hAnsi="Times New Roman" w:cs="Times New Roman"/>
          <w:sz w:val="20"/>
          <w:szCs w:val="20"/>
        </w:rPr>
        <w:t xml:space="preserve"> the source logical DU </w:t>
      </w:r>
      <w:r>
        <w:rPr>
          <w:rFonts w:hint="default" w:ascii="Times New Roman" w:hAnsi="Times New Roman" w:eastAsia="宋体" w:cs="Times New Roman"/>
          <w:sz w:val="20"/>
          <w:szCs w:val="20"/>
          <w:lang w:val="en-US" w:eastAsia="zh-CN"/>
        </w:rPr>
        <w:t xml:space="preserve">or from </w:t>
      </w:r>
      <w:r>
        <w:rPr>
          <w:rFonts w:hint="default" w:ascii="Times New Roman" w:hAnsi="Times New Roman" w:cs="Times New Roman"/>
          <w:sz w:val="20"/>
          <w:szCs w:val="20"/>
        </w:rPr>
        <w:t>target logical DU</w:t>
      </w:r>
      <w:r>
        <w:rPr>
          <w:rFonts w:hint="default" w:ascii="Times New Roman" w:hAnsi="Times New Roman" w:eastAsia="宋体" w:cs="Times New Roman"/>
          <w:sz w:val="20"/>
          <w:szCs w:val="20"/>
          <w:lang w:val="en-US" w:eastAsia="zh-CN"/>
        </w:rPr>
        <w:t>, and then look up the corresponding table for non-F1-U traffic delivering.</w:t>
      </w:r>
      <w:r>
        <w:rPr>
          <w:rFonts w:hint="eastAsia" w:ascii="Times New Roman" w:hAnsi="Times New Roman" w:eastAsia="宋体" w:cs="Times New Roman"/>
          <w:sz w:val="20"/>
          <w:szCs w:val="20"/>
          <w:lang w:val="en-US" w:eastAsia="zh-CN"/>
        </w:rPr>
        <w:t xml:space="preserve"> In this sense, the potential redundant BAP configuration entries can be avoided by the implementation of DU and it is not nec</w:t>
      </w:r>
      <w:r>
        <w:rPr>
          <w:rFonts w:hint="eastAsia" w:cs="Times New Roman"/>
          <w:sz w:val="20"/>
          <w:szCs w:val="20"/>
          <w:lang w:val="en-US" w:eastAsia="zh-CN"/>
        </w:rPr>
        <w:t>e</w:t>
      </w:r>
      <w:r>
        <w:rPr>
          <w:rFonts w:hint="eastAsia" w:ascii="Times New Roman" w:hAnsi="Times New Roman" w:eastAsia="宋体" w:cs="Times New Roman"/>
          <w:sz w:val="20"/>
          <w:szCs w:val="20"/>
          <w:lang w:val="en-US" w:eastAsia="zh-CN"/>
        </w:rPr>
        <w:t>ssary to consider the specification impact.</w:t>
      </w:r>
    </w:p>
    <w:p>
      <w:pPr>
        <w:jc w:val="both"/>
        <w:rPr>
          <w:rFonts w:hint="eastAsia"/>
          <w:sz w:val="20"/>
          <w:szCs w:val="20"/>
          <w:lang w:val="en-US" w:eastAsia="zh-CN"/>
        </w:rPr>
      </w:pPr>
      <w:r>
        <w:rPr>
          <w:rFonts w:hint="eastAsia" w:eastAsia="等线"/>
          <w:b/>
          <w:bCs/>
          <w:sz w:val="20"/>
          <w:szCs w:val="20"/>
          <w:lang w:val="en-US" w:eastAsia="zh-CN"/>
        </w:rPr>
        <w:t>Proposal 1: T</w:t>
      </w:r>
      <w:r>
        <w:rPr>
          <w:rFonts w:hint="eastAsia" w:ascii="Times New Roman" w:hAnsi="Times New Roman" w:eastAsia="宋体" w:cs="Times New Roman"/>
          <w:b/>
          <w:bCs/>
          <w:sz w:val="20"/>
          <w:szCs w:val="20"/>
          <w:lang w:val="en-US" w:eastAsia="zh-CN"/>
        </w:rPr>
        <w:t>he potential redundant BAP configuration entries can be avoided by the implementation of DU and it is not nec</w:t>
      </w:r>
      <w:r>
        <w:rPr>
          <w:rFonts w:hint="eastAsia" w:cs="Times New Roman"/>
          <w:b/>
          <w:bCs/>
          <w:sz w:val="20"/>
          <w:szCs w:val="20"/>
          <w:lang w:val="en-US" w:eastAsia="zh-CN"/>
        </w:rPr>
        <w:t>e</w:t>
      </w:r>
      <w:r>
        <w:rPr>
          <w:rFonts w:hint="eastAsia" w:ascii="Times New Roman" w:hAnsi="Times New Roman" w:eastAsia="宋体" w:cs="Times New Roman"/>
          <w:b/>
          <w:bCs/>
          <w:sz w:val="20"/>
          <w:szCs w:val="20"/>
          <w:lang w:val="en-US" w:eastAsia="zh-CN"/>
        </w:rPr>
        <w:t>ssary to consider the specification impact</w:t>
      </w:r>
      <w:r>
        <w:rPr>
          <w:rFonts w:hint="eastAsia" w:eastAsia="等线"/>
          <w:b/>
          <w:bCs/>
          <w:sz w:val="20"/>
          <w:szCs w:val="20"/>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eastAsia="宋体" w:cs="Times New Roman"/>
          <w:sz w:val="22"/>
          <w:szCs w:val="22"/>
          <w:lang w:val="en-US" w:eastAsia="zh-CN"/>
        </w:rPr>
      </w:pPr>
    </w:p>
    <w:p>
      <w:pPr>
        <w:pStyle w:val="3"/>
        <w:bidi w:val="0"/>
        <w:rPr>
          <w:rFonts w:hint="eastAsia"/>
          <w:lang w:val="en-US" w:eastAsia="zh-CN"/>
        </w:rPr>
      </w:pPr>
      <w:r>
        <w:rPr>
          <w:rFonts w:hint="eastAsia"/>
          <w:lang w:val="en-US" w:eastAsia="zh-CN"/>
        </w:rPr>
        <w:t>PCI collision</w:t>
      </w:r>
    </w:p>
    <w:p>
      <w:pPr>
        <w:jc w:val="both"/>
        <w:rPr>
          <w:rFonts w:hint="eastAsia"/>
          <w:b w:val="0"/>
          <w:bCs w:val="0"/>
          <w:highlight w:val="none"/>
          <w:lang w:val="en-US" w:eastAsia="zh-CN"/>
        </w:rPr>
      </w:pPr>
      <w:r>
        <w:rPr>
          <w:rFonts w:hint="eastAsia"/>
          <w:lang w:val="en-US" w:eastAsia="zh-CN"/>
        </w:rPr>
        <w:t xml:space="preserve">The PCI of mobile IAB-DU cell may collide with other cells due to the movement of mobile IAB-MT. During </w:t>
      </w:r>
      <w:r>
        <w:rPr>
          <w:rFonts w:hint="eastAsia"/>
          <w:lang w:eastAsia="zh-CN"/>
        </w:rPr>
        <w:t xml:space="preserve">RAN3#117 bis meeting, </w:t>
      </w:r>
      <w:r>
        <w:rPr>
          <w:rFonts w:hint="eastAsia"/>
          <w:lang w:val="en-US" w:eastAsia="zh-CN"/>
        </w:rPr>
        <w:t xml:space="preserve">it has been agreed that </w:t>
      </w:r>
      <w:r>
        <w:rPr>
          <w:rFonts w:hint="eastAsia"/>
          <w:lang w:eastAsia="zh-CN"/>
        </w:rPr>
        <w:t xml:space="preserve">PCI collision can be detected by the F1-terminating IAB-donor of the mobile IAB-node. </w:t>
      </w:r>
      <w:r>
        <w:rPr>
          <w:rFonts w:hint="eastAsia"/>
          <w:lang w:val="en-US" w:eastAsia="zh-CN"/>
        </w:rPr>
        <w:t xml:space="preserve">For example, </w:t>
      </w:r>
      <w:r>
        <w:rPr>
          <w:rFonts w:hint="eastAsia"/>
          <w:highlight w:val="none"/>
          <w:lang w:val="en-US" w:eastAsia="zh-CN"/>
        </w:rPr>
        <w:t xml:space="preserve">the donor CU can know the PCI used by the mobile IAB-DU via the </w:t>
      </w:r>
      <w:r>
        <w:rPr>
          <w:highlight w:val="none"/>
          <w:lang w:val="en-US" w:eastAsia="zh-CN"/>
        </w:rPr>
        <w:t>F1 Setup procedure</w:t>
      </w:r>
      <w:r>
        <w:rPr>
          <w:rFonts w:hint="eastAsia"/>
          <w:highlight w:val="none"/>
          <w:lang w:val="en-US" w:eastAsia="zh-CN"/>
        </w:rPr>
        <w:t>. During the full migration, the target donor CU</w:t>
      </w:r>
      <w:r>
        <w:rPr>
          <w:rFonts w:hint="eastAsia"/>
          <w:lang w:val="en-US" w:eastAsia="zh-CN"/>
        </w:rPr>
        <w:t xml:space="preserve"> could detect PCI collision upon receiving the F1 setup request (which include the PCI used by the mobile IAB-DU) from mobile IAB-DU. Suppose the PCI collision is detected, the target donor CU </w:t>
      </w:r>
      <w:r>
        <w:rPr>
          <w:rFonts w:hint="eastAsia"/>
          <w:b w:val="0"/>
          <w:bCs w:val="0"/>
          <w:lang w:val="en-US" w:eastAsia="zh-CN"/>
        </w:rPr>
        <w:t xml:space="preserve">may </w:t>
      </w:r>
      <w:r>
        <w:rPr>
          <w:rFonts w:hint="eastAsia"/>
          <w:b w:val="0"/>
          <w:bCs w:val="0"/>
          <w:highlight w:val="none"/>
          <w:lang w:val="en-US" w:eastAsia="zh-CN"/>
        </w:rPr>
        <w:t xml:space="preserve">request a new PCI from OAM or </w:t>
      </w:r>
      <w:r>
        <w:rPr>
          <w:b w:val="0"/>
          <w:bCs w:val="0"/>
          <w:highlight w:val="none"/>
          <w:lang w:val="en-US" w:eastAsia="zh-CN"/>
        </w:rPr>
        <w:t>select a new PCI value from the preconfigured PCI list</w:t>
      </w:r>
      <w:r>
        <w:rPr>
          <w:rFonts w:hint="eastAsia"/>
          <w:b w:val="0"/>
          <w:bCs w:val="0"/>
          <w:highlight w:val="none"/>
          <w:lang w:val="en-US" w:eastAsia="zh-CN"/>
        </w:rPr>
        <w:t xml:space="preserve">, </w:t>
      </w:r>
      <w:r>
        <w:rPr>
          <w:b w:val="0"/>
          <w:bCs w:val="0"/>
          <w:highlight w:val="none"/>
          <w:lang w:val="en-US" w:eastAsia="zh-CN"/>
        </w:rPr>
        <w:t>and</w:t>
      </w:r>
      <w:r>
        <w:rPr>
          <w:rFonts w:hint="eastAsia"/>
          <w:b w:val="0"/>
          <w:bCs w:val="0"/>
          <w:highlight w:val="none"/>
          <w:lang w:val="en-US" w:eastAsia="zh-CN"/>
        </w:rPr>
        <w:t xml:space="preserve"> then</w:t>
      </w:r>
      <w:r>
        <w:rPr>
          <w:b w:val="0"/>
          <w:bCs w:val="0"/>
          <w:highlight w:val="none"/>
          <w:lang w:val="en-US" w:eastAsia="zh-CN"/>
        </w:rPr>
        <w:t xml:space="preserve"> send it to the </w:t>
      </w:r>
      <w:r>
        <w:rPr>
          <w:rFonts w:hint="eastAsia"/>
          <w:b w:val="0"/>
          <w:bCs w:val="0"/>
          <w:highlight w:val="none"/>
          <w:lang w:val="en-US" w:eastAsia="zh-CN"/>
        </w:rPr>
        <w:t>mobile IAB</w:t>
      </w:r>
      <w:r>
        <w:rPr>
          <w:b w:val="0"/>
          <w:bCs w:val="0"/>
          <w:highlight w:val="none"/>
          <w:lang w:val="en-US" w:eastAsia="zh-CN"/>
        </w:rPr>
        <w:t>-DU</w:t>
      </w:r>
      <w:r>
        <w:rPr>
          <w:rFonts w:hint="eastAsia"/>
          <w:b w:val="0"/>
          <w:bCs w:val="0"/>
          <w:highlight w:val="none"/>
          <w:lang w:val="en-US" w:eastAsia="zh-CN"/>
        </w:rPr>
        <w:t xml:space="preserve">. </w:t>
      </w:r>
    </w:p>
    <w:p>
      <w:pPr>
        <w:numPr>
          <w:ilvl w:val="-1"/>
          <w:numId w:val="0"/>
        </w:numPr>
        <w:jc w:val="both"/>
        <w:rPr>
          <w:rFonts w:hint="default" w:eastAsia="等线"/>
          <w:lang w:val="en-US" w:eastAsia="zh-CN"/>
        </w:rPr>
      </w:pPr>
      <w:r>
        <w:rPr>
          <w:rFonts w:hint="eastAsia"/>
          <w:lang w:val="en-US" w:eastAsia="zh-CN"/>
        </w:rPr>
        <w:t xml:space="preserve">When it comes to the partial migration, </w:t>
      </w:r>
      <w:r>
        <w:rPr>
          <w:rFonts w:hint="eastAsia" w:eastAsia="等线"/>
          <w:lang w:val="en-US" w:eastAsia="zh-CN"/>
        </w:rPr>
        <w:t xml:space="preserve">the mobile IAB-DU has only F1 connection with F1-terminating donor CU and the F1-terminating donor CU may be not aware of the PCIs used in the neighbouring cells of the mobile IAB cell. It is doubtful how the F1-terminating donor CU detects the PCI collision of mobile IAB-DU. In our opinion, if there is Xn connection between the F1-terminating donor CU and target donor CU, the F1-terminating donor CU can be aware of PCIs of serving cells and neighbour cells of the target donor CU via existing XnAP signaling, e.g., </w:t>
      </w:r>
      <w:r>
        <w:t>X</w:t>
      </w:r>
      <w:r>
        <w:rPr>
          <w:rFonts w:hint="eastAsia"/>
          <w:lang w:val="en-US" w:eastAsia="zh-CN"/>
        </w:rPr>
        <w:t>n</w:t>
      </w:r>
      <w:r>
        <w:t xml:space="preserve"> SETUP</w:t>
      </w:r>
      <w:r>
        <w:rPr>
          <w:rFonts w:hint="eastAsia"/>
          <w:lang w:val="en-US" w:eastAsia="zh-CN"/>
        </w:rPr>
        <w:t>/NG-RAN NODE CONFIGURATION UPDATE</w:t>
      </w:r>
      <w:r>
        <w:rPr>
          <w:rFonts w:hint="eastAsia" w:eastAsia="等线"/>
          <w:lang w:val="en-US" w:eastAsia="zh-CN"/>
        </w:rPr>
        <w:t>. Thus F1-terminating donor CU can detect potential PCI collision and then reconfigure the PCI for mobile IAB-DU</w:t>
      </w:r>
      <w:r>
        <w:rPr>
          <w:rFonts w:hint="default" w:eastAsia="等线"/>
          <w:lang w:val="en-US" w:eastAsia="zh-CN"/>
        </w:rPr>
        <w:t>’</w:t>
      </w:r>
      <w:r>
        <w:rPr>
          <w:rFonts w:hint="eastAsia" w:eastAsia="等线"/>
          <w:lang w:val="en-US" w:eastAsia="zh-CN"/>
        </w:rPr>
        <w:t xml:space="preserve">s cell when necessary. However, if the Xn connection is not available, it is hard for the F1-terminating donor CU to be aware of the PCI collision. On the other hand, the PCI reconfiguration after the F1 connection SETUP or </w:t>
      </w:r>
      <w:r>
        <w:rPr>
          <w:rFonts w:hint="eastAsia"/>
          <w:lang w:val="en-US" w:eastAsia="zh-CN"/>
        </w:rPr>
        <w:t>NG-RAN node CONFIGURATION UPDATE</w:t>
      </w:r>
      <w:r>
        <w:rPr>
          <w:rFonts w:hint="eastAsia" w:eastAsia="等线"/>
          <w:lang w:val="en-US" w:eastAsia="zh-CN"/>
        </w:rPr>
        <w:t xml:space="preserve"> may lead to longer latency and cause interference to neighbor cells.  </w:t>
      </w:r>
    </w:p>
    <w:p>
      <w:pPr>
        <w:numPr>
          <w:ilvl w:val="-1"/>
          <w:numId w:val="0"/>
        </w:numPr>
        <w:jc w:val="both"/>
        <w:rPr>
          <w:rFonts w:hint="eastAsia"/>
          <w:color w:val="auto"/>
          <w:highlight w:val="none"/>
          <w:lang w:val="en-US" w:eastAsia="zh-CN"/>
        </w:rPr>
      </w:pPr>
      <w:r>
        <w:rPr>
          <w:rFonts w:hint="eastAsia" w:eastAsia="等线"/>
          <w:lang w:val="en-US" w:eastAsia="zh-CN"/>
        </w:rPr>
        <w:t xml:space="preserve">Based on the above analysis, it is suggested that the new PCI be reconfigured as soon as possible before the potential collision happens. To be specific, </w:t>
      </w:r>
      <w:r>
        <w:rPr>
          <w:rFonts w:hint="eastAsia"/>
          <w:color w:val="auto"/>
          <w:highlight w:val="none"/>
          <w:lang w:val="en-US" w:eastAsia="zh-CN"/>
        </w:rPr>
        <w:t>the PCI used by mobile IAB DU</w:t>
      </w:r>
      <w:r>
        <w:rPr>
          <w:rFonts w:hint="default"/>
          <w:color w:val="auto"/>
          <w:highlight w:val="none"/>
          <w:lang w:val="en-US" w:eastAsia="zh-CN"/>
        </w:rPr>
        <w:t>’</w:t>
      </w:r>
      <w:r>
        <w:rPr>
          <w:rFonts w:hint="eastAsia"/>
          <w:color w:val="auto"/>
          <w:highlight w:val="none"/>
          <w:lang w:val="en-US" w:eastAsia="zh-CN"/>
        </w:rPr>
        <w:t>s cells may be sent by source donor CU to the target donor CU during HO preparation phase of co-located mobile IAB-MT. If the target donor CU receives the PCI of mobile IAB DU</w:t>
      </w:r>
      <w:r>
        <w:rPr>
          <w:rFonts w:hint="default"/>
          <w:color w:val="auto"/>
          <w:highlight w:val="none"/>
          <w:lang w:val="en-US" w:eastAsia="zh-CN"/>
        </w:rPr>
        <w:t>’</w:t>
      </w:r>
      <w:r>
        <w:rPr>
          <w:rFonts w:hint="eastAsia"/>
          <w:color w:val="auto"/>
          <w:highlight w:val="none"/>
          <w:lang w:val="en-US" w:eastAsia="zh-CN"/>
        </w:rPr>
        <w:t>s cells and predicts PCI collision, the target donor CU may re-assign the PCI for the mobile IAB-DU</w:t>
      </w:r>
      <w:r>
        <w:rPr>
          <w:rFonts w:hint="default"/>
          <w:color w:val="auto"/>
          <w:highlight w:val="none"/>
          <w:lang w:val="en-US" w:eastAsia="zh-CN"/>
        </w:rPr>
        <w:t>’</w:t>
      </w:r>
      <w:r>
        <w:rPr>
          <w:rFonts w:hint="eastAsia"/>
          <w:color w:val="auto"/>
          <w:highlight w:val="none"/>
          <w:lang w:val="en-US" w:eastAsia="zh-CN"/>
        </w:rPr>
        <w:t xml:space="preserve">s cells and send it to source donor CU. Upon receiving the HO command from source donor CU, the mobile IAB-MT delivers the new PCI configuration of mobile IAB cells to the co-located mobile IAB-DU, which will then activate the mobile IAB cells with the new PCIs. </w:t>
      </w:r>
    </w:p>
    <w:p>
      <w:pPr>
        <w:jc w:val="both"/>
        <w:rPr>
          <w:rFonts w:hint="eastAsia"/>
          <w:lang w:val="en-US" w:eastAsia="zh-CN"/>
        </w:rPr>
      </w:pPr>
      <w:r>
        <w:rPr>
          <w:rFonts w:hint="eastAsia" w:eastAsia="等线"/>
          <w:b/>
          <w:bCs/>
          <w:lang w:val="en-US" w:eastAsia="zh-CN"/>
        </w:rPr>
        <w:t>Proposal 2: RAN2 to consider the PCI re-assignment for mobile IAB-DU</w:t>
      </w:r>
      <w:r>
        <w:rPr>
          <w:rFonts w:hint="default" w:eastAsia="等线"/>
          <w:b/>
          <w:bCs/>
          <w:lang w:val="en-US" w:eastAsia="zh-CN"/>
        </w:rPr>
        <w:t>’</w:t>
      </w:r>
      <w:r>
        <w:rPr>
          <w:rFonts w:hint="eastAsia" w:eastAsia="等线"/>
          <w:b/>
          <w:bCs/>
          <w:lang w:val="en-US" w:eastAsia="zh-CN"/>
        </w:rPr>
        <w:t>s cell during the HO preparation phase of co-located mobile IAB-MT.</w:t>
      </w:r>
    </w:p>
    <w:p>
      <w:pPr>
        <w:pStyle w:val="3"/>
        <w:bidi w:val="0"/>
        <w:rPr>
          <w:rFonts w:hint="default"/>
          <w:lang w:val="en-US" w:eastAsia="zh-CN"/>
        </w:rPr>
      </w:pPr>
      <w:r>
        <w:rPr>
          <w:rFonts w:hint="eastAsia"/>
          <w:lang w:val="en-US" w:eastAsia="zh-CN"/>
        </w:rPr>
        <w:t>ANR</w:t>
      </w:r>
    </w:p>
    <w:p>
      <w:pPr>
        <w:jc w:val="both"/>
        <w:rPr>
          <w:rFonts w:hint="eastAsia" w:eastAsia="宋体"/>
          <w:lang w:val="en-US" w:eastAsia="zh-CN"/>
        </w:rPr>
      </w:pPr>
      <w:r>
        <w:rPr>
          <w:rFonts w:hint="eastAsia"/>
          <w:lang w:val="en-US" w:eastAsia="zh-CN"/>
        </w:rPr>
        <w:t>As we know, t</w:t>
      </w:r>
      <w:r>
        <w:t>he ANR function resides in the gNB</w:t>
      </w:r>
      <w:r>
        <w:rPr>
          <w:rFonts w:hint="eastAsia"/>
          <w:lang w:val="en-US" w:eastAsia="zh-CN"/>
        </w:rPr>
        <w:t>,</w:t>
      </w:r>
      <w:r>
        <w:t xml:space="preserve"> </w:t>
      </w:r>
      <w:r>
        <w:rPr>
          <w:rFonts w:hint="eastAsia"/>
          <w:lang w:val="en-US" w:eastAsia="zh-CN"/>
        </w:rPr>
        <w:t>which</w:t>
      </w:r>
      <w:r>
        <w:t xml:space="preserve"> manages the Neighbour Cell Relation Table (NCRT). </w:t>
      </w:r>
      <w:r>
        <w:rPr>
          <w:rFonts w:hint="eastAsia"/>
          <w:lang w:val="en-US" w:eastAsia="zh-CN"/>
        </w:rPr>
        <w:t xml:space="preserve">Generally speaking, the NCR may contain a list of entries for each source cell which include the </w:t>
      </w:r>
      <w:r>
        <w:t>NR CGI</w:t>
      </w:r>
      <w:r>
        <w:rPr>
          <w:rFonts w:hint="eastAsia"/>
          <w:lang w:val="en-US" w:eastAsia="zh-CN"/>
        </w:rPr>
        <w:t xml:space="preserve">, </w:t>
      </w:r>
      <w:r>
        <w:t>NR PCI</w:t>
      </w:r>
      <w:r>
        <w:rPr>
          <w:rFonts w:hint="eastAsia"/>
          <w:lang w:val="en-US" w:eastAsia="zh-CN"/>
        </w:rPr>
        <w:t xml:space="preserve"> of target cell and attributes such as Xn availability, HO, etc. </w:t>
      </w:r>
      <w:r>
        <w:t xml:space="preserve">Located within ANR, the Neighbour Detection Function finds new </w:t>
      </w:r>
      <w:r>
        <w:rPr>
          <w:rFonts w:hint="eastAsia"/>
          <w:lang w:eastAsia="zh-CN"/>
        </w:rPr>
        <w:t>neighbors</w:t>
      </w:r>
      <w:r>
        <w:t xml:space="preserve"> and adds them to the NCRT. </w:t>
      </w:r>
      <w:r>
        <w:rPr>
          <w:rFonts w:hint="eastAsia"/>
          <w:lang w:val="en-US" w:eastAsia="zh-CN"/>
        </w:rPr>
        <w:t xml:space="preserve">The gNB may obtain the NCR information via OAM configuration, neighbor information exchange via Xn setup or </w:t>
      </w:r>
      <w:r>
        <w:t>gNB Configuration Update</w:t>
      </w:r>
      <w:r>
        <w:rPr>
          <w:rFonts w:hint="eastAsia"/>
          <w:lang w:val="en-US" w:eastAsia="zh-CN"/>
        </w:rPr>
        <w:t xml:space="preserve"> procedure. In addition, gNB may request UE to use </w:t>
      </w:r>
      <w:r>
        <w:t xml:space="preserve">the newly discovered PCI as parameter, to read all the broadcast NCGI(s) /ECGI(s), TAC(s), RANAC(s), PLMN ID(s) and, for neighbour NR cells, NR frequency band(s). </w:t>
      </w:r>
      <w:r>
        <w:rPr>
          <w:rFonts w:hint="eastAsia"/>
          <w:lang w:val="en-US" w:eastAsia="zh-CN"/>
        </w:rPr>
        <w:t xml:space="preserve">Then UE report these information of neighboring NR cells to gNB. gNB may </w:t>
      </w:r>
      <w:r>
        <w:t>decide to add this neighbour relation</w:t>
      </w:r>
      <w:r>
        <w:rPr>
          <w:rFonts w:hint="eastAsia"/>
          <w:lang w:val="en-US" w:eastAsia="zh-CN"/>
        </w:rPr>
        <w:t xml:space="preserve"> to NCRT. In addition, gNB may </w:t>
      </w:r>
      <w:r>
        <w:t>use PCI and NCGI(s)</w:t>
      </w:r>
      <w:r>
        <w:rPr>
          <w:rFonts w:hint="eastAsia"/>
          <w:lang w:val="en-US" w:eastAsia="zh-CN"/>
        </w:rPr>
        <w:t xml:space="preserve"> to l</w:t>
      </w:r>
      <w:r>
        <w:t>ookup a transport layer address to the new NG-RAN node</w:t>
      </w:r>
      <w:r>
        <w:rPr>
          <w:rFonts w:hint="eastAsia"/>
          <w:lang w:val="en-US" w:eastAsia="zh-CN"/>
        </w:rPr>
        <w:t xml:space="preserve"> and </w:t>
      </w:r>
      <w:r>
        <w:t>setup a new Xn interface towards this NG-RAN node</w:t>
      </w:r>
      <w:r>
        <w:rPr>
          <w:rFonts w:hint="eastAsia"/>
          <w:lang w:val="en-US" w:eastAsia="zh-CN"/>
        </w:rPr>
        <w:t>.</w:t>
      </w:r>
    </w:p>
    <w:p>
      <w:pPr>
        <w:jc w:val="both"/>
        <w:rPr>
          <w:rFonts w:hint="eastAsia"/>
          <w:lang w:val="en-US" w:eastAsia="zh-CN"/>
        </w:rPr>
      </w:pPr>
      <w:r>
        <w:rPr>
          <w:rFonts w:hint="eastAsia"/>
          <w:lang w:val="en-US" w:eastAsia="zh-CN"/>
        </w:rPr>
        <w:t xml:space="preserve">When it comes to the mobile IAB scenario, the mobile IAB node may notify the cells information to donor CU via F1 interface once the mobile IAB node MT has connected or handover to donor CU. This donor CU may then notify the neighbor gNB with the updated served cell info via Xn interface. For the other neighbor gNB which has no Xn interface with donor CU, the UE may detect the PCI of mobile IAB cells and report to the neighbor gNB. </w:t>
      </w:r>
    </w:p>
    <w:p>
      <w:pPr>
        <w:jc w:val="both"/>
        <w:rPr>
          <w:rFonts w:hint="default" w:eastAsia="宋体"/>
          <w:lang w:val="en-US" w:eastAsia="zh-CN"/>
        </w:rPr>
      </w:pPr>
      <w:r>
        <w:rPr>
          <w:rFonts w:hint="eastAsia"/>
          <w:lang w:val="en-US" w:eastAsia="zh-CN"/>
        </w:rPr>
        <w:t>As a matter of fact, it is not recommended for the surrounding UE served by stationary neighboring cells to HO to the mobile IAB cells. Therefore it is also not necessary to add the mobile IAB cells to the neighboring gNB</w:t>
      </w:r>
      <w:r>
        <w:rPr>
          <w:rFonts w:hint="default"/>
          <w:lang w:val="en-US" w:eastAsia="zh-CN"/>
        </w:rPr>
        <w:t>’</w:t>
      </w:r>
      <w:r>
        <w:rPr>
          <w:rFonts w:hint="eastAsia"/>
          <w:lang w:val="en-US" w:eastAsia="zh-CN"/>
        </w:rPr>
        <w:t xml:space="preserve">s NCRT. </w:t>
      </w:r>
      <w:r>
        <w:rPr>
          <w:rFonts w:hint="eastAsia"/>
          <w:highlight w:val="none"/>
          <w:lang w:val="en-US" w:eastAsia="zh-CN"/>
        </w:rPr>
        <w:t xml:space="preserve">To support this, when UE report the mobile IAB indication together with other </w:t>
      </w:r>
      <w:r>
        <w:rPr>
          <w:highlight w:val="none"/>
        </w:rPr>
        <w:t>NCGI(s) /ECGI(s), TAC(s), RANAC(s), PLMN ID(s) and, NR frequency band(s)</w:t>
      </w:r>
      <w:r>
        <w:rPr>
          <w:rFonts w:hint="eastAsia"/>
          <w:highlight w:val="none"/>
          <w:lang w:val="en-US" w:eastAsia="zh-CN"/>
        </w:rPr>
        <w:t xml:space="preserve"> information. Based on this information, the neighboring gNB decides not to add the entry for mobile IAB cells into the NCRT. </w:t>
      </w:r>
    </w:p>
    <w:p>
      <w:pPr>
        <w:jc w:val="both"/>
        <w:rPr>
          <w:rFonts w:hint="eastAsia"/>
          <w:b/>
          <w:bCs/>
          <w:sz w:val="20"/>
          <w:szCs w:val="20"/>
          <w:lang w:val="en-US" w:eastAsia="zh-CN"/>
        </w:rPr>
      </w:pPr>
      <w:r>
        <w:rPr>
          <w:rFonts w:hint="eastAsia"/>
          <w:b/>
          <w:bCs/>
          <w:lang w:val="en-US" w:eastAsia="zh-CN"/>
        </w:rPr>
        <w:t>Proposal 3: To avoid stationary neighboring</w:t>
      </w:r>
      <w:bookmarkStart w:id="3" w:name="_GoBack"/>
      <w:bookmarkEnd w:id="3"/>
      <w:r>
        <w:rPr>
          <w:rFonts w:hint="eastAsia"/>
          <w:b/>
          <w:bCs/>
          <w:lang w:val="en-US" w:eastAsia="zh-CN"/>
        </w:rPr>
        <w:t xml:space="preserve"> gNB to add the mobile IAB cells into NCRT, it is suggested </w:t>
      </w:r>
      <w:r>
        <w:rPr>
          <w:rFonts w:hint="eastAsia"/>
          <w:b/>
          <w:bCs/>
          <w:highlight w:val="none"/>
          <w:lang w:val="en-US" w:eastAsia="zh-CN"/>
        </w:rPr>
        <w:t xml:space="preserve">UE indicates to gNB that the cell is for mobile IAB when UE is requested to report more information for a PCI associated with mobile IAB cell. </w:t>
      </w:r>
    </w:p>
    <w:bookmarkEnd w:id="0"/>
    <w:p>
      <w:pPr>
        <w:pStyle w:val="2"/>
        <w:jc w:val="both"/>
        <w:rPr>
          <w:rFonts w:eastAsia="宋体"/>
          <w:lang w:eastAsia="zh-CN"/>
        </w:rPr>
      </w:pPr>
      <w:bookmarkStart w:id="1" w:name="OLE_LINK2"/>
      <w:bookmarkStart w:id="2" w:name="OLE_LINK1"/>
      <w:r>
        <w:rPr>
          <w:rFonts w:hint="eastAsia" w:eastAsia="宋体"/>
          <w:lang w:eastAsia="zh-CN"/>
        </w:rPr>
        <w:t>Conclusion</w:t>
      </w:r>
    </w:p>
    <w:bookmarkEnd w:id="1"/>
    <w:bookmarkEnd w:id="2"/>
    <w:p>
      <w:pPr>
        <w:overflowPunct w:val="0"/>
        <w:autoSpaceDE w:val="0"/>
        <w:autoSpaceDN w:val="0"/>
        <w:adjustRightInd w:val="0"/>
        <w:spacing w:before="156" w:beforeLines="50"/>
        <w:jc w:val="both"/>
        <w:rPr>
          <w:lang w:val="en-US" w:eastAsia="zh-CN"/>
        </w:rPr>
      </w:pPr>
      <w:r>
        <w:rPr>
          <w:lang w:val="en-US" w:eastAsia="zh-CN"/>
        </w:rPr>
        <w:t xml:space="preserve">In this contribution, </w:t>
      </w:r>
      <w:r>
        <w:rPr>
          <w:rFonts w:hint="eastAsia"/>
          <w:lang w:val="en-US" w:eastAsia="zh-CN"/>
        </w:rPr>
        <w:t>we focus on the remaining issues for mobile IAB and present our point of view</w:t>
      </w:r>
      <w:r>
        <w:rPr>
          <w:lang w:val="en-US" w:eastAsia="zh-CN"/>
        </w:rPr>
        <w:t>.</w:t>
      </w:r>
      <w:r>
        <w:rPr>
          <w:rFonts w:hint="eastAsia"/>
          <w:lang w:val="en-US" w:eastAsia="zh-CN"/>
        </w:rPr>
        <w:t xml:space="preserve"> The following proposals are given:</w:t>
      </w:r>
    </w:p>
    <w:p>
      <w:pPr>
        <w:jc w:val="both"/>
        <w:rPr>
          <w:rFonts w:hint="eastAsia"/>
          <w:lang w:val="en-US" w:eastAsia="zh-CN"/>
        </w:rPr>
      </w:pPr>
      <w:r>
        <w:rPr>
          <w:rFonts w:hint="eastAsia" w:eastAsia="等线"/>
          <w:b/>
          <w:bCs/>
          <w:sz w:val="20"/>
          <w:szCs w:val="20"/>
          <w:lang w:val="en-US" w:eastAsia="zh-CN"/>
        </w:rPr>
        <w:t>Proposal 1: T</w:t>
      </w:r>
      <w:r>
        <w:rPr>
          <w:rFonts w:hint="eastAsia" w:ascii="Times New Roman" w:hAnsi="Times New Roman" w:eastAsia="宋体" w:cs="Times New Roman"/>
          <w:b/>
          <w:bCs/>
          <w:sz w:val="20"/>
          <w:szCs w:val="20"/>
          <w:lang w:val="en-US" w:eastAsia="zh-CN"/>
        </w:rPr>
        <w:t>he potential redundant BAP configuration entries can be avoided by the implementation of DU and it is not nec</w:t>
      </w:r>
      <w:r>
        <w:rPr>
          <w:rFonts w:hint="eastAsia" w:cs="Times New Roman"/>
          <w:b/>
          <w:bCs/>
          <w:sz w:val="20"/>
          <w:szCs w:val="20"/>
          <w:lang w:val="en-US" w:eastAsia="zh-CN"/>
        </w:rPr>
        <w:t>e</w:t>
      </w:r>
      <w:r>
        <w:rPr>
          <w:rFonts w:hint="eastAsia" w:ascii="Times New Roman" w:hAnsi="Times New Roman" w:eastAsia="宋体" w:cs="Times New Roman"/>
          <w:b/>
          <w:bCs/>
          <w:sz w:val="20"/>
          <w:szCs w:val="20"/>
          <w:lang w:val="en-US" w:eastAsia="zh-CN"/>
        </w:rPr>
        <w:t>ssary to consider the specification impact</w:t>
      </w:r>
      <w:r>
        <w:rPr>
          <w:rFonts w:hint="eastAsia" w:eastAsia="等线"/>
          <w:b/>
          <w:bCs/>
          <w:sz w:val="20"/>
          <w:szCs w:val="20"/>
          <w:lang w:val="en-US" w:eastAsia="zh-CN"/>
        </w:rPr>
        <w:t>.</w:t>
      </w:r>
    </w:p>
    <w:p>
      <w:pPr>
        <w:jc w:val="both"/>
        <w:rPr>
          <w:rFonts w:hint="eastAsia"/>
          <w:lang w:val="en-US" w:eastAsia="zh-CN"/>
        </w:rPr>
      </w:pPr>
      <w:r>
        <w:rPr>
          <w:rFonts w:hint="eastAsia" w:eastAsia="等线"/>
          <w:b/>
          <w:bCs/>
          <w:lang w:val="en-US" w:eastAsia="zh-CN"/>
        </w:rPr>
        <w:t>Proposal 2: RAN2 to consider the PCI re-assignment for mobile IAB-DU</w:t>
      </w:r>
      <w:r>
        <w:rPr>
          <w:rFonts w:hint="default" w:eastAsia="等线"/>
          <w:b/>
          <w:bCs/>
          <w:lang w:val="en-US" w:eastAsia="zh-CN"/>
        </w:rPr>
        <w:t>’</w:t>
      </w:r>
      <w:r>
        <w:rPr>
          <w:rFonts w:hint="eastAsia" w:eastAsia="等线"/>
          <w:b/>
          <w:bCs/>
          <w:lang w:val="en-US" w:eastAsia="zh-CN"/>
        </w:rPr>
        <w:t>s cell during the HO preparation phase of co-located mobile IAB-MT.</w:t>
      </w:r>
    </w:p>
    <w:p>
      <w:pPr>
        <w:jc w:val="both"/>
        <w:rPr>
          <w:rFonts w:hint="eastAsia"/>
          <w:b/>
          <w:bCs/>
          <w:sz w:val="20"/>
          <w:szCs w:val="20"/>
          <w:lang w:val="en-US" w:eastAsia="zh-CN"/>
        </w:rPr>
      </w:pPr>
      <w:r>
        <w:rPr>
          <w:rFonts w:hint="eastAsia"/>
          <w:b/>
          <w:bCs/>
          <w:lang w:val="en-US" w:eastAsia="zh-CN"/>
        </w:rPr>
        <w:t xml:space="preserve">Proposal 3: To avoid neighbor gNB to add the mobile IAB cells into NCRT, it is suggested </w:t>
      </w:r>
      <w:r>
        <w:rPr>
          <w:rFonts w:hint="eastAsia"/>
          <w:b/>
          <w:bCs/>
          <w:highlight w:val="none"/>
          <w:lang w:val="en-US" w:eastAsia="zh-CN"/>
        </w:rPr>
        <w:t xml:space="preserve">UE indicates to gNB that the cell is for mobile IAB when UE is requested to report more information for a PCI associated with mobile IAB cell. </w:t>
      </w:r>
    </w:p>
    <w:p>
      <w:pPr>
        <w:pStyle w:val="2"/>
        <w:rPr>
          <w:rFonts w:eastAsia="宋体"/>
          <w:lang w:eastAsia="zh-CN"/>
        </w:rPr>
      </w:pPr>
      <w:r>
        <w:rPr>
          <w:rFonts w:hint="eastAsia" w:eastAsia="宋体"/>
          <w:lang w:eastAsia="zh-CN"/>
        </w:rPr>
        <w:t>Reference</w:t>
      </w:r>
    </w:p>
    <w:p>
      <w:pPr>
        <w:numPr>
          <w:ilvl w:val="0"/>
          <w:numId w:val="13"/>
        </w:numPr>
        <w:rPr>
          <w:lang w:val="en-US" w:eastAsia="zh-CN"/>
        </w:rPr>
      </w:pPr>
      <w:r>
        <w:rPr>
          <w:rFonts w:hint="eastAsia"/>
          <w:lang w:val="en-US" w:eastAsia="zh-CN"/>
        </w:rPr>
        <w:t>RAN2#1</w:t>
      </w:r>
      <w:r>
        <w:rPr>
          <w:lang w:val="en-US" w:eastAsia="zh-CN"/>
        </w:rPr>
        <w:t>2</w:t>
      </w:r>
      <w:r>
        <w:rPr>
          <w:rFonts w:hint="eastAsia"/>
          <w:lang w:val="en-US" w:eastAsia="zh-CN"/>
        </w:rPr>
        <w:t>2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504020202020204"/>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2"/>
  </w:num>
  <w:num w:numId="9">
    <w:abstractNumId w:val="2"/>
  </w:num>
  <w:num w:numId="10">
    <w:abstractNumId w:val="11"/>
  </w:num>
  <w:num w:numId="11">
    <w:abstractNumId w:val="8"/>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CC3"/>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50"/>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6F3D"/>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2F1"/>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0A4"/>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800"/>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10D"/>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6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1D5"/>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3E68"/>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9C9"/>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78"/>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56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9F5"/>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B30"/>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6F98"/>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887"/>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457"/>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D4E"/>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679"/>
    <w:rsid w:val="00570D10"/>
    <w:rsid w:val="0057112E"/>
    <w:rsid w:val="00571265"/>
    <w:rsid w:val="00571378"/>
    <w:rsid w:val="00571966"/>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87AAA"/>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5C5"/>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4C6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1912"/>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4FA"/>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3C6"/>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47"/>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6AA"/>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3E0E"/>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1684"/>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85D"/>
    <w:rsid w:val="009F5C3D"/>
    <w:rsid w:val="009F5D50"/>
    <w:rsid w:val="009F5D86"/>
    <w:rsid w:val="009F606B"/>
    <w:rsid w:val="009F60B9"/>
    <w:rsid w:val="009F61B2"/>
    <w:rsid w:val="009F6450"/>
    <w:rsid w:val="009F65C3"/>
    <w:rsid w:val="009F6841"/>
    <w:rsid w:val="009F7D0B"/>
    <w:rsid w:val="009F7DC6"/>
    <w:rsid w:val="00A001F5"/>
    <w:rsid w:val="00A00714"/>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298"/>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7C9"/>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C84"/>
    <w:rsid w:val="00AC5ECC"/>
    <w:rsid w:val="00AC6137"/>
    <w:rsid w:val="00AC6156"/>
    <w:rsid w:val="00AC6556"/>
    <w:rsid w:val="00AC67C4"/>
    <w:rsid w:val="00AC69E2"/>
    <w:rsid w:val="00AC6FC4"/>
    <w:rsid w:val="00AC722B"/>
    <w:rsid w:val="00AC748E"/>
    <w:rsid w:val="00AC765E"/>
    <w:rsid w:val="00AC7B40"/>
    <w:rsid w:val="00AC7C68"/>
    <w:rsid w:val="00AC7E3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4E6"/>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7CB"/>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3A9"/>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3E14"/>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2AB"/>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E7E08"/>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EF3"/>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8DE"/>
    <w:rsid w:val="00D949C7"/>
    <w:rsid w:val="00D94D77"/>
    <w:rsid w:val="00D94E69"/>
    <w:rsid w:val="00D950CB"/>
    <w:rsid w:val="00D952E4"/>
    <w:rsid w:val="00D95624"/>
    <w:rsid w:val="00D9565E"/>
    <w:rsid w:val="00D956D4"/>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55"/>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7B0"/>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B80"/>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01"/>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BFD"/>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479"/>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0764A"/>
    <w:rsid w:val="013A4C6E"/>
    <w:rsid w:val="013B40A1"/>
    <w:rsid w:val="013B7B86"/>
    <w:rsid w:val="01445AC8"/>
    <w:rsid w:val="014F5AEC"/>
    <w:rsid w:val="01597E34"/>
    <w:rsid w:val="015D46BF"/>
    <w:rsid w:val="016B6E25"/>
    <w:rsid w:val="01791CB2"/>
    <w:rsid w:val="018121F4"/>
    <w:rsid w:val="0187447D"/>
    <w:rsid w:val="01A47FEC"/>
    <w:rsid w:val="01AB65A1"/>
    <w:rsid w:val="01B015B0"/>
    <w:rsid w:val="01B13133"/>
    <w:rsid w:val="01B60586"/>
    <w:rsid w:val="01C2533B"/>
    <w:rsid w:val="01CC21F9"/>
    <w:rsid w:val="01E350D1"/>
    <w:rsid w:val="01EE7061"/>
    <w:rsid w:val="01EF2C9E"/>
    <w:rsid w:val="01FD79B8"/>
    <w:rsid w:val="02067CF9"/>
    <w:rsid w:val="02072962"/>
    <w:rsid w:val="021B2FD6"/>
    <w:rsid w:val="02221303"/>
    <w:rsid w:val="023853F6"/>
    <w:rsid w:val="023B380D"/>
    <w:rsid w:val="02562A14"/>
    <w:rsid w:val="025B5430"/>
    <w:rsid w:val="02674F36"/>
    <w:rsid w:val="026D607F"/>
    <w:rsid w:val="026F5973"/>
    <w:rsid w:val="027B1D57"/>
    <w:rsid w:val="027F793D"/>
    <w:rsid w:val="02865A1B"/>
    <w:rsid w:val="028B2766"/>
    <w:rsid w:val="028C3C3A"/>
    <w:rsid w:val="029E07FE"/>
    <w:rsid w:val="02B5652D"/>
    <w:rsid w:val="02CB0E0D"/>
    <w:rsid w:val="02D8526C"/>
    <w:rsid w:val="02EB38B9"/>
    <w:rsid w:val="02EE0E74"/>
    <w:rsid w:val="02F00BEE"/>
    <w:rsid w:val="02F22456"/>
    <w:rsid w:val="030026D0"/>
    <w:rsid w:val="0300644B"/>
    <w:rsid w:val="03024BFE"/>
    <w:rsid w:val="03045E57"/>
    <w:rsid w:val="031242C4"/>
    <w:rsid w:val="03125D81"/>
    <w:rsid w:val="0335007C"/>
    <w:rsid w:val="03393D83"/>
    <w:rsid w:val="033C5EC0"/>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6078B"/>
    <w:rsid w:val="04DC3315"/>
    <w:rsid w:val="04E2571E"/>
    <w:rsid w:val="04EC7690"/>
    <w:rsid w:val="04ED10B5"/>
    <w:rsid w:val="04EE00C4"/>
    <w:rsid w:val="04F82945"/>
    <w:rsid w:val="05040A56"/>
    <w:rsid w:val="0506279A"/>
    <w:rsid w:val="05073FED"/>
    <w:rsid w:val="050C6378"/>
    <w:rsid w:val="050F171D"/>
    <w:rsid w:val="05134032"/>
    <w:rsid w:val="05175F4B"/>
    <w:rsid w:val="05176BF7"/>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61DE1"/>
    <w:rsid w:val="05E765A1"/>
    <w:rsid w:val="05EC0947"/>
    <w:rsid w:val="05F25E08"/>
    <w:rsid w:val="06023813"/>
    <w:rsid w:val="06051705"/>
    <w:rsid w:val="06056BE7"/>
    <w:rsid w:val="06151900"/>
    <w:rsid w:val="06281D5E"/>
    <w:rsid w:val="0628331F"/>
    <w:rsid w:val="062A1949"/>
    <w:rsid w:val="06367268"/>
    <w:rsid w:val="06443493"/>
    <w:rsid w:val="064C02D3"/>
    <w:rsid w:val="06525D08"/>
    <w:rsid w:val="066327A9"/>
    <w:rsid w:val="06632969"/>
    <w:rsid w:val="0665774C"/>
    <w:rsid w:val="06667182"/>
    <w:rsid w:val="06911F5C"/>
    <w:rsid w:val="069D7084"/>
    <w:rsid w:val="06A505BC"/>
    <w:rsid w:val="06BE54F4"/>
    <w:rsid w:val="06C97CEE"/>
    <w:rsid w:val="06D250A7"/>
    <w:rsid w:val="06E1106D"/>
    <w:rsid w:val="06FC6542"/>
    <w:rsid w:val="07016055"/>
    <w:rsid w:val="07115BD3"/>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80F97"/>
    <w:rsid w:val="095E7DCF"/>
    <w:rsid w:val="096B03FF"/>
    <w:rsid w:val="096F777B"/>
    <w:rsid w:val="098113B0"/>
    <w:rsid w:val="09823672"/>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B25BE"/>
    <w:rsid w:val="0A5F4A05"/>
    <w:rsid w:val="0A623302"/>
    <w:rsid w:val="0A661320"/>
    <w:rsid w:val="0A681411"/>
    <w:rsid w:val="0A6F3848"/>
    <w:rsid w:val="0A7A68E3"/>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4374C"/>
    <w:rsid w:val="0CF86EA2"/>
    <w:rsid w:val="0D090A9B"/>
    <w:rsid w:val="0D0B3AE7"/>
    <w:rsid w:val="0D1B7692"/>
    <w:rsid w:val="0D25736F"/>
    <w:rsid w:val="0D2974B3"/>
    <w:rsid w:val="0D2E50C1"/>
    <w:rsid w:val="0D315A17"/>
    <w:rsid w:val="0D4450E8"/>
    <w:rsid w:val="0D446417"/>
    <w:rsid w:val="0D473C1A"/>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DDC42E4"/>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E74D70"/>
    <w:rsid w:val="0EFC7DA7"/>
    <w:rsid w:val="0EFE523A"/>
    <w:rsid w:val="0F142574"/>
    <w:rsid w:val="0F245617"/>
    <w:rsid w:val="0F46488F"/>
    <w:rsid w:val="0F4C36C8"/>
    <w:rsid w:val="0F5F0E06"/>
    <w:rsid w:val="0F640159"/>
    <w:rsid w:val="0F6C61FA"/>
    <w:rsid w:val="0F7052E6"/>
    <w:rsid w:val="0F757973"/>
    <w:rsid w:val="0F772B49"/>
    <w:rsid w:val="0F7D7A1F"/>
    <w:rsid w:val="0F802E0A"/>
    <w:rsid w:val="0F805F18"/>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E6FEE"/>
    <w:rsid w:val="10F472F5"/>
    <w:rsid w:val="11003578"/>
    <w:rsid w:val="1114768E"/>
    <w:rsid w:val="11205E74"/>
    <w:rsid w:val="112325DA"/>
    <w:rsid w:val="112742FC"/>
    <w:rsid w:val="112F045E"/>
    <w:rsid w:val="11312E7E"/>
    <w:rsid w:val="114762BA"/>
    <w:rsid w:val="114B43DF"/>
    <w:rsid w:val="11534747"/>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49506D"/>
    <w:rsid w:val="12505C6D"/>
    <w:rsid w:val="125509A0"/>
    <w:rsid w:val="12620E97"/>
    <w:rsid w:val="126C3536"/>
    <w:rsid w:val="126F1F4B"/>
    <w:rsid w:val="1273677B"/>
    <w:rsid w:val="127530AF"/>
    <w:rsid w:val="12766E6A"/>
    <w:rsid w:val="127D7052"/>
    <w:rsid w:val="12885826"/>
    <w:rsid w:val="128A4BF6"/>
    <w:rsid w:val="12932EFE"/>
    <w:rsid w:val="12944EC4"/>
    <w:rsid w:val="12951926"/>
    <w:rsid w:val="129D6F90"/>
    <w:rsid w:val="12C219F1"/>
    <w:rsid w:val="12CE19E6"/>
    <w:rsid w:val="12D533D2"/>
    <w:rsid w:val="12D752A3"/>
    <w:rsid w:val="12E26B3A"/>
    <w:rsid w:val="12EC6383"/>
    <w:rsid w:val="12EE33AC"/>
    <w:rsid w:val="12EF6841"/>
    <w:rsid w:val="12F571E9"/>
    <w:rsid w:val="13080271"/>
    <w:rsid w:val="1311514F"/>
    <w:rsid w:val="131B6D1D"/>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36B6C"/>
    <w:rsid w:val="13F40DF1"/>
    <w:rsid w:val="13F66306"/>
    <w:rsid w:val="13FF1965"/>
    <w:rsid w:val="14094AFA"/>
    <w:rsid w:val="141F3605"/>
    <w:rsid w:val="14250E1C"/>
    <w:rsid w:val="142A6E8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34B43"/>
    <w:rsid w:val="14F45292"/>
    <w:rsid w:val="14F4722B"/>
    <w:rsid w:val="14F65C86"/>
    <w:rsid w:val="14F70046"/>
    <w:rsid w:val="14F76726"/>
    <w:rsid w:val="14FB45CA"/>
    <w:rsid w:val="150C1BA5"/>
    <w:rsid w:val="151123EF"/>
    <w:rsid w:val="15125701"/>
    <w:rsid w:val="1516018E"/>
    <w:rsid w:val="151A2B60"/>
    <w:rsid w:val="15217D77"/>
    <w:rsid w:val="152A1E52"/>
    <w:rsid w:val="1542182D"/>
    <w:rsid w:val="15551327"/>
    <w:rsid w:val="15587802"/>
    <w:rsid w:val="15611C97"/>
    <w:rsid w:val="15714BE7"/>
    <w:rsid w:val="15777BF2"/>
    <w:rsid w:val="1587701B"/>
    <w:rsid w:val="158C19B1"/>
    <w:rsid w:val="15971401"/>
    <w:rsid w:val="15987EDF"/>
    <w:rsid w:val="159F6551"/>
    <w:rsid w:val="15AA6AD1"/>
    <w:rsid w:val="15AB1179"/>
    <w:rsid w:val="15B4366E"/>
    <w:rsid w:val="15B65D6A"/>
    <w:rsid w:val="15CB362E"/>
    <w:rsid w:val="15D61985"/>
    <w:rsid w:val="15E5132B"/>
    <w:rsid w:val="15E6781B"/>
    <w:rsid w:val="15EF0DB2"/>
    <w:rsid w:val="15F1298D"/>
    <w:rsid w:val="15F522CC"/>
    <w:rsid w:val="15F76C35"/>
    <w:rsid w:val="16043574"/>
    <w:rsid w:val="16046B5F"/>
    <w:rsid w:val="1611122E"/>
    <w:rsid w:val="161173BC"/>
    <w:rsid w:val="16122BF8"/>
    <w:rsid w:val="161B3EB7"/>
    <w:rsid w:val="162A047C"/>
    <w:rsid w:val="162B60F2"/>
    <w:rsid w:val="16304D58"/>
    <w:rsid w:val="16334D0D"/>
    <w:rsid w:val="1643404D"/>
    <w:rsid w:val="164C001C"/>
    <w:rsid w:val="1651202D"/>
    <w:rsid w:val="16517D15"/>
    <w:rsid w:val="16670C23"/>
    <w:rsid w:val="167D764A"/>
    <w:rsid w:val="16837CFB"/>
    <w:rsid w:val="16862360"/>
    <w:rsid w:val="16915179"/>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96351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34D1C"/>
    <w:rsid w:val="19C879C9"/>
    <w:rsid w:val="19E90A65"/>
    <w:rsid w:val="19F13C55"/>
    <w:rsid w:val="19F3039F"/>
    <w:rsid w:val="19F756C5"/>
    <w:rsid w:val="1A0301A3"/>
    <w:rsid w:val="1A06256E"/>
    <w:rsid w:val="1A145E68"/>
    <w:rsid w:val="1A197C48"/>
    <w:rsid w:val="1A1B7AF6"/>
    <w:rsid w:val="1A1E4DFD"/>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551C0C"/>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20C75"/>
    <w:rsid w:val="21846ED1"/>
    <w:rsid w:val="21964D08"/>
    <w:rsid w:val="21A61743"/>
    <w:rsid w:val="21AE0533"/>
    <w:rsid w:val="21B5378E"/>
    <w:rsid w:val="21CE6894"/>
    <w:rsid w:val="21D66EB2"/>
    <w:rsid w:val="21D677FD"/>
    <w:rsid w:val="21E359B2"/>
    <w:rsid w:val="22011200"/>
    <w:rsid w:val="22067AB1"/>
    <w:rsid w:val="22096534"/>
    <w:rsid w:val="220C6CB6"/>
    <w:rsid w:val="220D51F5"/>
    <w:rsid w:val="220E4D48"/>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1598E"/>
    <w:rsid w:val="22B3517E"/>
    <w:rsid w:val="22BA3BAD"/>
    <w:rsid w:val="22C40F57"/>
    <w:rsid w:val="22CC3FBB"/>
    <w:rsid w:val="22D62F45"/>
    <w:rsid w:val="22D86942"/>
    <w:rsid w:val="22DB748A"/>
    <w:rsid w:val="22E317D6"/>
    <w:rsid w:val="22E44202"/>
    <w:rsid w:val="22E90FEA"/>
    <w:rsid w:val="22F63B66"/>
    <w:rsid w:val="22F73646"/>
    <w:rsid w:val="22FA30ED"/>
    <w:rsid w:val="22FD074A"/>
    <w:rsid w:val="22FD5433"/>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33D86"/>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2D09BB"/>
    <w:rsid w:val="2430254A"/>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B48E7"/>
    <w:rsid w:val="265E4818"/>
    <w:rsid w:val="265F0495"/>
    <w:rsid w:val="265F59FB"/>
    <w:rsid w:val="266555A1"/>
    <w:rsid w:val="26674798"/>
    <w:rsid w:val="2669016B"/>
    <w:rsid w:val="267366B5"/>
    <w:rsid w:val="267A50E3"/>
    <w:rsid w:val="26A61A31"/>
    <w:rsid w:val="26A979B6"/>
    <w:rsid w:val="26AE5365"/>
    <w:rsid w:val="26B01E3E"/>
    <w:rsid w:val="26B506F6"/>
    <w:rsid w:val="26CB4EC9"/>
    <w:rsid w:val="26CC4EED"/>
    <w:rsid w:val="26DD5ADB"/>
    <w:rsid w:val="26DE6381"/>
    <w:rsid w:val="26E25FB5"/>
    <w:rsid w:val="26E43629"/>
    <w:rsid w:val="26E80BEB"/>
    <w:rsid w:val="26ED06D9"/>
    <w:rsid w:val="26ED270B"/>
    <w:rsid w:val="26F07E40"/>
    <w:rsid w:val="26F207AC"/>
    <w:rsid w:val="270636C6"/>
    <w:rsid w:val="270B24B1"/>
    <w:rsid w:val="271640FF"/>
    <w:rsid w:val="27203B3F"/>
    <w:rsid w:val="27261664"/>
    <w:rsid w:val="272A5204"/>
    <w:rsid w:val="273534DB"/>
    <w:rsid w:val="27355906"/>
    <w:rsid w:val="275609E0"/>
    <w:rsid w:val="27603599"/>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D37E2"/>
    <w:rsid w:val="2A040F28"/>
    <w:rsid w:val="2A053652"/>
    <w:rsid w:val="2A067415"/>
    <w:rsid w:val="2A0800E5"/>
    <w:rsid w:val="2A0A2044"/>
    <w:rsid w:val="2A0F4C0F"/>
    <w:rsid w:val="2A11085A"/>
    <w:rsid w:val="2A1A3866"/>
    <w:rsid w:val="2A1E00C4"/>
    <w:rsid w:val="2A212DCF"/>
    <w:rsid w:val="2A266B79"/>
    <w:rsid w:val="2A2D10E2"/>
    <w:rsid w:val="2A406D3A"/>
    <w:rsid w:val="2A407645"/>
    <w:rsid w:val="2A505939"/>
    <w:rsid w:val="2A50703B"/>
    <w:rsid w:val="2A516190"/>
    <w:rsid w:val="2A6E29BB"/>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6E711F"/>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D23532"/>
    <w:rsid w:val="2CD81019"/>
    <w:rsid w:val="2CE074B2"/>
    <w:rsid w:val="2CEC6471"/>
    <w:rsid w:val="2CEF1368"/>
    <w:rsid w:val="2D0C15E0"/>
    <w:rsid w:val="2D1A3816"/>
    <w:rsid w:val="2D1E7CD5"/>
    <w:rsid w:val="2D2140D4"/>
    <w:rsid w:val="2D2519AA"/>
    <w:rsid w:val="2D2C4AF5"/>
    <w:rsid w:val="2D3523C5"/>
    <w:rsid w:val="2D3D77C2"/>
    <w:rsid w:val="2D4957EB"/>
    <w:rsid w:val="2D4F527C"/>
    <w:rsid w:val="2D5233D5"/>
    <w:rsid w:val="2D64342C"/>
    <w:rsid w:val="2D644C4A"/>
    <w:rsid w:val="2D810A54"/>
    <w:rsid w:val="2D880A3C"/>
    <w:rsid w:val="2D914D1C"/>
    <w:rsid w:val="2DA17515"/>
    <w:rsid w:val="2DA64F75"/>
    <w:rsid w:val="2DAE5715"/>
    <w:rsid w:val="2DC056BD"/>
    <w:rsid w:val="2DCE3801"/>
    <w:rsid w:val="2DE865BD"/>
    <w:rsid w:val="2DEB07E9"/>
    <w:rsid w:val="2DED3C53"/>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23B43"/>
    <w:rsid w:val="2F44008B"/>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36934"/>
    <w:rsid w:val="300762C4"/>
    <w:rsid w:val="302374AB"/>
    <w:rsid w:val="302C16E1"/>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73BBE"/>
    <w:rsid w:val="311A5DEA"/>
    <w:rsid w:val="311C73B4"/>
    <w:rsid w:val="311F55F5"/>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16709"/>
    <w:rsid w:val="34360D07"/>
    <w:rsid w:val="343867BA"/>
    <w:rsid w:val="34520356"/>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14666F"/>
    <w:rsid w:val="362122CF"/>
    <w:rsid w:val="36216492"/>
    <w:rsid w:val="362175E3"/>
    <w:rsid w:val="36233A56"/>
    <w:rsid w:val="362F33A6"/>
    <w:rsid w:val="363227C3"/>
    <w:rsid w:val="36330800"/>
    <w:rsid w:val="36393F82"/>
    <w:rsid w:val="363C1F19"/>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C5A8E"/>
    <w:rsid w:val="37B62A54"/>
    <w:rsid w:val="37B936C4"/>
    <w:rsid w:val="37BA6B56"/>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B2FBB"/>
    <w:rsid w:val="384D1481"/>
    <w:rsid w:val="384E5140"/>
    <w:rsid w:val="385A61A1"/>
    <w:rsid w:val="386B41E2"/>
    <w:rsid w:val="3871591E"/>
    <w:rsid w:val="388103A2"/>
    <w:rsid w:val="388162ED"/>
    <w:rsid w:val="38856EBC"/>
    <w:rsid w:val="3888376D"/>
    <w:rsid w:val="389103F7"/>
    <w:rsid w:val="389C3B40"/>
    <w:rsid w:val="38A117C3"/>
    <w:rsid w:val="38A173CA"/>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1A3CE0"/>
    <w:rsid w:val="3A320C69"/>
    <w:rsid w:val="3A381454"/>
    <w:rsid w:val="3A38627D"/>
    <w:rsid w:val="3A3A7804"/>
    <w:rsid w:val="3A3F482E"/>
    <w:rsid w:val="3A456D61"/>
    <w:rsid w:val="3A4F6FF7"/>
    <w:rsid w:val="3A517B3B"/>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04631F"/>
    <w:rsid w:val="3B135593"/>
    <w:rsid w:val="3B1D5FF2"/>
    <w:rsid w:val="3B247E7A"/>
    <w:rsid w:val="3B2D077B"/>
    <w:rsid w:val="3B313B50"/>
    <w:rsid w:val="3B3301EA"/>
    <w:rsid w:val="3B371FAF"/>
    <w:rsid w:val="3B3F68A0"/>
    <w:rsid w:val="3B406223"/>
    <w:rsid w:val="3B411C83"/>
    <w:rsid w:val="3B437575"/>
    <w:rsid w:val="3B445A14"/>
    <w:rsid w:val="3B510099"/>
    <w:rsid w:val="3B5A3C2B"/>
    <w:rsid w:val="3B5B35CC"/>
    <w:rsid w:val="3B6A7FA4"/>
    <w:rsid w:val="3B7D1DE3"/>
    <w:rsid w:val="3B8758EE"/>
    <w:rsid w:val="3B8D2F36"/>
    <w:rsid w:val="3BAB563B"/>
    <w:rsid w:val="3BB53769"/>
    <w:rsid w:val="3BB902BF"/>
    <w:rsid w:val="3BB93320"/>
    <w:rsid w:val="3BBB0270"/>
    <w:rsid w:val="3BBE57B7"/>
    <w:rsid w:val="3BBF1D20"/>
    <w:rsid w:val="3BCA0EF8"/>
    <w:rsid w:val="3BCC37BF"/>
    <w:rsid w:val="3BD34132"/>
    <w:rsid w:val="3BE455A3"/>
    <w:rsid w:val="3BEB1216"/>
    <w:rsid w:val="3BEC3365"/>
    <w:rsid w:val="3BF14BAD"/>
    <w:rsid w:val="3BFB4FD3"/>
    <w:rsid w:val="3BFE22E7"/>
    <w:rsid w:val="3C0278F1"/>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DB68D4"/>
    <w:rsid w:val="3CF810D4"/>
    <w:rsid w:val="3CF878B5"/>
    <w:rsid w:val="3CFA31FE"/>
    <w:rsid w:val="3D1665CB"/>
    <w:rsid w:val="3D1D0816"/>
    <w:rsid w:val="3D1F05EA"/>
    <w:rsid w:val="3D263D34"/>
    <w:rsid w:val="3D2820F7"/>
    <w:rsid w:val="3D292B9B"/>
    <w:rsid w:val="3D362589"/>
    <w:rsid w:val="3D3B7E48"/>
    <w:rsid w:val="3D4A4187"/>
    <w:rsid w:val="3D5331A4"/>
    <w:rsid w:val="3D6515EC"/>
    <w:rsid w:val="3D757BFC"/>
    <w:rsid w:val="3D78217F"/>
    <w:rsid w:val="3D7B110C"/>
    <w:rsid w:val="3D7B2B7D"/>
    <w:rsid w:val="3D7F5027"/>
    <w:rsid w:val="3D822306"/>
    <w:rsid w:val="3D846601"/>
    <w:rsid w:val="3D8D4C5B"/>
    <w:rsid w:val="3D990950"/>
    <w:rsid w:val="3D9B563C"/>
    <w:rsid w:val="3D9F2F43"/>
    <w:rsid w:val="3DA1484A"/>
    <w:rsid w:val="3DAC7DC3"/>
    <w:rsid w:val="3DB83A86"/>
    <w:rsid w:val="3DD318B1"/>
    <w:rsid w:val="3DD76B16"/>
    <w:rsid w:val="3DE2350A"/>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61A44"/>
    <w:rsid w:val="3E8C5B70"/>
    <w:rsid w:val="3E8E4694"/>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D4869"/>
    <w:rsid w:val="3F9D5595"/>
    <w:rsid w:val="3FA776F6"/>
    <w:rsid w:val="3FB0303B"/>
    <w:rsid w:val="3FCC4417"/>
    <w:rsid w:val="3FCC5A43"/>
    <w:rsid w:val="3FDE71F7"/>
    <w:rsid w:val="3FE10966"/>
    <w:rsid w:val="3FE46DA9"/>
    <w:rsid w:val="3FE5707D"/>
    <w:rsid w:val="3FEA326B"/>
    <w:rsid w:val="400B6168"/>
    <w:rsid w:val="400C2D52"/>
    <w:rsid w:val="400C785D"/>
    <w:rsid w:val="400E69A6"/>
    <w:rsid w:val="40216DA7"/>
    <w:rsid w:val="40237876"/>
    <w:rsid w:val="40306192"/>
    <w:rsid w:val="403071C4"/>
    <w:rsid w:val="4033616A"/>
    <w:rsid w:val="40336E85"/>
    <w:rsid w:val="40386E22"/>
    <w:rsid w:val="403F66AE"/>
    <w:rsid w:val="40616B63"/>
    <w:rsid w:val="40795CC3"/>
    <w:rsid w:val="409D37D8"/>
    <w:rsid w:val="40A3094D"/>
    <w:rsid w:val="40A416F9"/>
    <w:rsid w:val="40B871C9"/>
    <w:rsid w:val="40C61BF7"/>
    <w:rsid w:val="40CE4174"/>
    <w:rsid w:val="40CF1488"/>
    <w:rsid w:val="40D20597"/>
    <w:rsid w:val="40D637A8"/>
    <w:rsid w:val="40DC577F"/>
    <w:rsid w:val="40DF4DD7"/>
    <w:rsid w:val="40E55521"/>
    <w:rsid w:val="40E639A3"/>
    <w:rsid w:val="40FA1D61"/>
    <w:rsid w:val="41113B6A"/>
    <w:rsid w:val="411A46AB"/>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7D3909"/>
    <w:rsid w:val="42833005"/>
    <w:rsid w:val="428938C8"/>
    <w:rsid w:val="428C0F63"/>
    <w:rsid w:val="42955251"/>
    <w:rsid w:val="42961E1B"/>
    <w:rsid w:val="42AE02FA"/>
    <w:rsid w:val="42B068BB"/>
    <w:rsid w:val="42B468CD"/>
    <w:rsid w:val="42B9429B"/>
    <w:rsid w:val="42B9482F"/>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16EA"/>
    <w:rsid w:val="432B599B"/>
    <w:rsid w:val="43320FE8"/>
    <w:rsid w:val="4339439F"/>
    <w:rsid w:val="43412E19"/>
    <w:rsid w:val="43512293"/>
    <w:rsid w:val="43610390"/>
    <w:rsid w:val="43655414"/>
    <w:rsid w:val="43675C3B"/>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21D0A"/>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CF4C0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397427"/>
    <w:rsid w:val="47410E2B"/>
    <w:rsid w:val="4743147C"/>
    <w:rsid w:val="47461CED"/>
    <w:rsid w:val="474F0CC2"/>
    <w:rsid w:val="4750010D"/>
    <w:rsid w:val="47521896"/>
    <w:rsid w:val="4753289C"/>
    <w:rsid w:val="475E7A1B"/>
    <w:rsid w:val="47663784"/>
    <w:rsid w:val="476F7F1E"/>
    <w:rsid w:val="47761038"/>
    <w:rsid w:val="4782366D"/>
    <w:rsid w:val="478477BF"/>
    <w:rsid w:val="47887982"/>
    <w:rsid w:val="47A02DCD"/>
    <w:rsid w:val="47A14D10"/>
    <w:rsid w:val="47AC37A8"/>
    <w:rsid w:val="47B41473"/>
    <w:rsid w:val="47BA7A7F"/>
    <w:rsid w:val="47BC192F"/>
    <w:rsid w:val="47C36D5A"/>
    <w:rsid w:val="47D146EE"/>
    <w:rsid w:val="47D80C92"/>
    <w:rsid w:val="47DD65EF"/>
    <w:rsid w:val="47E224DA"/>
    <w:rsid w:val="47E63EB0"/>
    <w:rsid w:val="47FB0A7D"/>
    <w:rsid w:val="47FB271A"/>
    <w:rsid w:val="47FD33E9"/>
    <w:rsid w:val="48082361"/>
    <w:rsid w:val="48103631"/>
    <w:rsid w:val="48116A3B"/>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A2B4C"/>
    <w:rsid w:val="48FB462C"/>
    <w:rsid w:val="48FD7C3D"/>
    <w:rsid w:val="49041D35"/>
    <w:rsid w:val="49042EB0"/>
    <w:rsid w:val="490C48C8"/>
    <w:rsid w:val="49182F5B"/>
    <w:rsid w:val="492D1768"/>
    <w:rsid w:val="49382013"/>
    <w:rsid w:val="4948094D"/>
    <w:rsid w:val="494B7C8C"/>
    <w:rsid w:val="49534A38"/>
    <w:rsid w:val="49577F5B"/>
    <w:rsid w:val="49590A49"/>
    <w:rsid w:val="495D420F"/>
    <w:rsid w:val="497271BB"/>
    <w:rsid w:val="497C1D1C"/>
    <w:rsid w:val="49802100"/>
    <w:rsid w:val="49831F08"/>
    <w:rsid w:val="4994097A"/>
    <w:rsid w:val="49993BA8"/>
    <w:rsid w:val="49A177C4"/>
    <w:rsid w:val="49CF34DB"/>
    <w:rsid w:val="49EC5752"/>
    <w:rsid w:val="49F80AFA"/>
    <w:rsid w:val="49FA1131"/>
    <w:rsid w:val="4A117D4D"/>
    <w:rsid w:val="4A1A0CF9"/>
    <w:rsid w:val="4A1C0557"/>
    <w:rsid w:val="4A2B230E"/>
    <w:rsid w:val="4A43365A"/>
    <w:rsid w:val="4A466DFD"/>
    <w:rsid w:val="4A576003"/>
    <w:rsid w:val="4A583EFA"/>
    <w:rsid w:val="4A5B688E"/>
    <w:rsid w:val="4A6041B4"/>
    <w:rsid w:val="4A66406B"/>
    <w:rsid w:val="4A78542D"/>
    <w:rsid w:val="4A8A0E3B"/>
    <w:rsid w:val="4AAE6CB9"/>
    <w:rsid w:val="4AB93932"/>
    <w:rsid w:val="4ABC65B3"/>
    <w:rsid w:val="4ABD14F2"/>
    <w:rsid w:val="4AC420FF"/>
    <w:rsid w:val="4ACC799C"/>
    <w:rsid w:val="4ACF43DD"/>
    <w:rsid w:val="4AD53503"/>
    <w:rsid w:val="4ADA17D2"/>
    <w:rsid w:val="4ADA5876"/>
    <w:rsid w:val="4ADD31A5"/>
    <w:rsid w:val="4ADE4EF5"/>
    <w:rsid w:val="4AFE5FCD"/>
    <w:rsid w:val="4B012EDA"/>
    <w:rsid w:val="4B047519"/>
    <w:rsid w:val="4B1053C2"/>
    <w:rsid w:val="4B1103A6"/>
    <w:rsid w:val="4B170E51"/>
    <w:rsid w:val="4B406FEC"/>
    <w:rsid w:val="4B44027A"/>
    <w:rsid w:val="4B535B0F"/>
    <w:rsid w:val="4B5D208D"/>
    <w:rsid w:val="4B622E6E"/>
    <w:rsid w:val="4B682317"/>
    <w:rsid w:val="4B770E66"/>
    <w:rsid w:val="4B8A6B9F"/>
    <w:rsid w:val="4B8B7329"/>
    <w:rsid w:val="4B99555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5508A"/>
    <w:rsid w:val="4D0B7AE4"/>
    <w:rsid w:val="4D0F43B2"/>
    <w:rsid w:val="4D192644"/>
    <w:rsid w:val="4D254D1C"/>
    <w:rsid w:val="4D2D33D9"/>
    <w:rsid w:val="4D2D6815"/>
    <w:rsid w:val="4D2E0D3C"/>
    <w:rsid w:val="4D44167E"/>
    <w:rsid w:val="4D4C1706"/>
    <w:rsid w:val="4D4D3325"/>
    <w:rsid w:val="4D507170"/>
    <w:rsid w:val="4D546472"/>
    <w:rsid w:val="4D566FBA"/>
    <w:rsid w:val="4D5C6A6D"/>
    <w:rsid w:val="4D61137D"/>
    <w:rsid w:val="4D6122A3"/>
    <w:rsid w:val="4D635697"/>
    <w:rsid w:val="4D7866A7"/>
    <w:rsid w:val="4D7F1845"/>
    <w:rsid w:val="4D8A67DA"/>
    <w:rsid w:val="4D8B7947"/>
    <w:rsid w:val="4D943AE7"/>
    <w:rsid w:val="4D9A7380"/>
    <w:rsid w:val="4D9C3A4E"/>
    <w:rsid w:val="4DA4710E"/>
    <w:rsid w:val="4DB6032F"/>
    <w:rsid w:val="4DB770C7"/>
    <w:rsid w:val="4DB85906"/>
    <w:rsid w:val="4DBD5E56"/>
    <w:rsid w:val="4DC3090F"/>
    <w:rsid w:val="4DCA7CC0"/>
    <w:rsid w:val="4DDA0944"/>
    <w:rsid w:val="4DDB5855"/>
    <w:rsid w:val="4DF26512"/>
    <w:rsid w:val="4DFD50BE"/>
    <w:rsid w:val="4DFD5A6F"/>
    <w:rsid w:val="4E083D60"/>
    <w:rsid w:val="4E0950FB"/>
    <w:rsid w:val="4E0A5BBD"/>
    <w:rsid w:val="4E23125E"/>
    <w:rsid w:val="4E2E772A"/>
    <w:rsid w:val="4E38395C"/>
    <w:rsid w:val="4E434E98"/>
    <w:rsid w:val="4E4E075D"/>
    <w:rsid w:val="4E573192"/>
    <w:rsid w:val="4E5C0173"/>
    <w:rsid w:val="4E673E7B"/>
    <w:rsid w:val="4E676383"/>
    <w:rsid w:val="4E694667"/>
    <w:rsid w:val="4E6A1943"/>
    <w:rsid w:val="4E80340E"/>
    <w:rsid w:val="4E80585F"/>
    <w:rsid w:val="4E835393"/>
    <w:rsid w:val="4E9D327D"/>
    <w:rsid w:val="4EA04423"/>
    <w:rsid w:val="4EA320D1"/>
    <w:rsid w:val="4EA63946"/>
    <w:rsid w:val="4EA65EF4"/>
    <w:rsid w:val="4EAE5255"/>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65906"/>
    <w:rsid w:val="5002580D"/>
    <w:rsid w:val="50051910"/>
    <w:rsid w:val="500F0075"/>
    <w:rsid w:val="5015696D"/>
    <w:rsid w:val="501D74BB"/>
    <w:rsid w:val="50214EDB"/>
    <w:rsid w:val="503D0C67"/>
    <w:rsid w:val="505D0E93"/>
    <w:rsid w:val="505E33D2"/>
    <w:rsid w:val="506864A0"/>
    <w:rsid w:val="506A2CAA"/>
    <w:rsid w:val="50732542"/>
    <w:rsid w:val="50741EE8"/>
    <w:rsid w:val="507F5036"/>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106299D"/>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BC3A00"/>
    <w:rsid w:val="51C12CF0"/>
    <w:rsid w:val="51C60563"/>
    <w:rsid w:val="51D532E2"/>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538D"/>
    <w:rsid w:val="525C6928"/>
    <w:rsid w:val="52672BEC"/>
    <w:rsid w:val="52810C92"/>
    <w:rsid w:val="52921FEB"/>
    <w:rsid w:val="529F48AC"/>
    <w:rsid w:val="52B32703"/>
    <w:rsid w:val="52BC09C1"/>
    <w:rsid w:val="52C469ED"/>
    <w:rsid w:val="52C56672"/>
    <w:rsid w:val="52DA7558"/>
    <w:rsid w:val="52E573C1"/>
    <w:rsid w:val="52E71149"/>
    <w:rsid w:val="52EB488B"/>
    <w:rsid w:val="52ED01C1"/>
    <w:rsid w:val="52F83F37"/>
    <w:rsid w:val="52FB7B68"/>
    <w:rsid w:val="52FF6846"/>
    <w:rsid w:val="530069A5"/>
    <w:rsid w:val="53043A7C"/>
    <w:rsid w:val="53096E29"/>
    <w:rsid w:val="530A5CF7"/>
    <w:rsid w:val="53153974"/>
    <w:rsid w:val="531B594C"/>
    <w:rsid w:val="531C3ECA"/>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257F1"/>
    <w:rsid w:val="54676039"/>
    <w:rsid w:val="54710205"/>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737B32"/>
    <w:rsid w:val="55744BF2"/>
    <w:rsid w:val="557F757A"/>
    <w:rsid w:val="55837950"/>
    <w:rsid w:val="558576DE"/>
    <w:rsid w:val="5589224B"/>
    <w:rsid w:val="55936FAF"/>
    <w:rsid w:val="5594058C"/>
    <w:rsid w:val="55996C79"/>
    <w:rsid w:val="55B13E3B"/>
    <w:rsid w:val="55B52431"/>
    <w:rsid w:val="55C02117"/>
    <w:rsid w:val="55C259E8"/>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07781F"/>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23457C"/>
    <w:rsid w:val="5825789F"/>
    <w:rsid w:val="58292676"/>
    <w:rsid w:val="582F6754"/>
    <w:rsid w:val="582F6A56"/>
    <w:rsid w:val="5832401F"/>
    <w:rsid w:val="5834125E"/>
    <w:rsid w:val="583824A8"/>
    <w:rsid w:val="583B1511"/>
    <w:rsid w:val="584D64D9"/>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C14F7"/>
    <w:rsid w:val="593D7EB7"/>
    <w:rsid w:val="59420742"/>
    <w:rsid w:val="59493AAF"/>
    <w:rsid w:val="59567C0D"/>
    <w:rsid w:val="5960630C"/>
    <w:rsid w:val="59636E6A"/>
    <w:rsid w:val="59657E55"/>
    <w:rsid w:val="59693F3F"/>
    <w:rsid w:val="59805F88"/>
    <w:rsid w:val="59854E4C"/>
    <w:rsid w:val="598B23FC"/>
    <w:rsid w:val="598D1777"/>
    <w:rsid w:val="59944691"/>
    <w:rsid w:val="599F6880"/>
    <w:rsid w:val="59A74A0C"/>
    <w:rsid w:val="59AB159E"/>
    <w:rsid w:val="59C32D24"/>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A5809"/>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64C8C"/>
    <w:rsid w:val="5E172580"/>
    <w:rsid w:val="5E1C531C"/>
    <w:rsid w:val="5E1D027C"/>
    <w:rsid w:val="5E233E8C"/>
    <w:rsid w:val="5E2E6C70"/>
    <w:rsid w:val="5E36149E"/>
    <w:rsid w:val="5E363C81"/>
    <w:rsid w:val="5E377C81"/>
    <w:rsid w:val="5E4359DA"/>
    <w:rsid w:val="5E4F5801"/>
    <w:rsid w:val="5E585E7C"/>
    <w:rsid w:val="5E6030AB"/>
    <w:rsid w:val="5E615A04"/>
    <w:rsid w:val="5E7E33CC"/>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746F59"/>
    <w:rsid w:val="61877058"/>
    <w:rsid w:val="618F3CAF"/>
    <w:rsid w:val="618F511D"/>
    <w:rsid w:val="61982FC9"/>
    <w:rsid w:val="619D76F0"/>
    <w:rsid w:val="61A578A0"/>
    <w:rsid w:val="61AA6A18"/>
    <w:rsid w:val="61AB1CA9"/>
    <w:rsid w:val="61B8130F"/>
    <w:rsid w:val="61C7670E"/>
    <w:rsid w:val="61D102CD"/>
    <w:rsid w:val="61E64F5C"/>
    <w:rsid w:val="61EA2D3F"/>
    <w:rsid w:val="61ED7541"/>
    <w:rsid w:val="61F32456"/>
    <w:rsid w:val="61F507EA"/>
    <w:rsid w:val="61F74C24"/>
    <w:rsid w:val="62066181"/>
    <w:rsid w:val="62083044"/>
    <w:rsid w:val="62084BBA"/>
    <w:rsid w:val="620E7C4B"/>
    <w:rsid w:val="62110EF2"/>
    <w:rsid w:val="621368F0"/>
    <w:rsid w:val="62177F62"/>
    <w:rsid w:val="6221152F"/>
    <w:rsid w:val="62412709"/>
    <w:rsid w:val="624308F5"/>
    <w:rsid w:val="624E7BD0"/>
    <w:rsid w:val="624F7DE9"/>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33823"/>
    <w:rsid w:val="63740747"/>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E58AB"/>
    <w:rsid w:val="64290E1E"/>
    <w:rsid w:val="64316EE4"/>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001E19"/>
    <w:rsid w:val="66142811"/>
    <w:rsid w:val="66257927"/>
    <w:rsid w:val="662A49D9"/>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F439C"/>
    <w:rsid w:val="673F6043"/>
    <w:rsid w:val="67473121"/>
    <w:rsid w:val="67491781"/>
    <w:rsid w:val="674B18FB"/>
    <w:rsid w:val="674B4D84"/>
    <w:rsid w:val="674C5C33"/>
    <w:rsid w:val="67595E9D"/>
    <w:rsid w:val="676E762F"/>
    <w:rsid w:val="677E499B"/>
    <w:rsid w:val="67890D24"/>
    <w:rsid w:val="67930218"/>
    <w:rsid w:val="6796398B"/>
    <w:rsid w:val="67967040"/>
    <w:rsid w:val="67A11539"/>
    <w:rsid w:val="67A15BDF"/>
    <w:rsid w:val="67A74420"/>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87706"/>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B27E0"/>
    <w:rsid w:val="6AEB27DC"/>
    <w:rsid w:val="6AF57477"/>
    <w:rsid w:val="6AF80474"/>
    <w:rsid w:val="6B072958"/>
    <w:rsid w:val="6B0970A5"/>
    <w:rsid w:val="6B0D31B4"/>
    <w:rsid w:val="6B0D740F"/>
    <w:rsid w:val="6B0E6561"/>
    <w:rsid w:val="6B1776C1"/>
    <w:rsid w:val="6B183FDA"/>
    <w:rsid w:val="6B1D394F"/>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0E56EA"/>
    <w:rsid w:val="6C1108A2"/>
    <w:rsid w:val="6C1366EB"/>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D0471B7"/>
    <w:rsid w:val="6D0A6701"/>
    <w:rsid w:val="6D0D5442"/>
    <w:rsid w:val="6D156E90"/>
    <w:rsid w:val="6D18789A"/>
    <w:rsid w:val="6D1D5966"/>
    <w:rsid w:val="6D2476BD"/>
    <w:rsid w:val="6D2B77DD"/>
    <w:rsid w:val="6D416577"/>
    <w:rsid w:val="6D4421F3"/>
    <w:rsid w:val="6D551EC4"/>
    <w:rsid w:val="6D58029B"/>
    <w:rsid w:val="6D632E83"/>
    <w:rsid w:val="6D6F091A"/>
    <w:rsid w:val="6D7D4964"/>
    <w:rsid w:val="6D7E7BAE"/>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323BA"/>
    <w:rsid w:val="6E9D1E53"/>
    <w:rsid w:val="6EB776F8"/>
    <w:rsid w:val="6EC7631D"/>
    <w:rsid w:val="6ECB21BD"/>
    <w:rsid w:val="6ED53E24"/>
    <w:rsid w:val="6EE04EB7"/>
    <w:rsid w:val="6EE26D9C"/>
    <w:rsid w:val="6EE33B71"/>
    <w:rsid w:val="6EEA0A26"/>
    <w:rsid w:val="6EEA0C1E"/>
    <w:rsid w:val="6EEF2166"/>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CB5E24"/>
    <w:rsid w:val="6FE201A5"/>
    <w:rsid w:val="6FE677C4"/>
    <w:rsid w:val="6FE71701"/>
    <w:rsid w:val="6FE75A19"/>
    <w:rsid w:val="6FE92B4C"/>
    <w:rsid w:val="6FF35734"/>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329F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2DC8"/>
    <w:rsid w:val="7182595A"/>
    <w:rsid w:val="7192581E"/>
    <w:rsid w:val="719453E4"/>
    <w:rsid w:val="719D66C8"/>
    <w:rsid w:val="71AB51EE"/>
    <w:rsid w:val="71BF2378"/>
    <w:rsid w:val="71E100E9"/>
    <w:rsid w:val="71EA2FC4"/>
    <w:rsid w:val="71EA5E90"/>
    <w:rsid w:val="71EE2B55"/>
    <w:rsid w:val="71F72A38"/>
    <w:rsid w:val="71FE3E5F"/>
    <w:rsid w:val="720040E9"/>
    <w:rsid w:val="72074550"/>
    <w:rsid w:val="72094611"/>
    <w:rsid w:val="720B19D1"/>
    <w:rsid w:val="720B6DA8"/>
    <w:rsid w:val="720D7723"/>
    <w:rsid w:val="721434E3"/>
    <w:rsid w:val="721F3D0A"/>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242D9"/>
    <w:rsid w:val="73F454F4"/>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64CF5"/>
    <w:rsid w:val="74FF0307"/>
    <w:rsid w:val="750223BA"/>
    <w:rsid w:val="750A0624"/>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1E7BD4"/>
    <w:rsid w:val="762E25A8"/>
    <w:rsid w:val="763A574B"/>
    <w:rsid w:val="764212BC"/>
    <w:rsid w:val="7645107B"/>
    <w:rsid w:val="7658118F"/>
    <w:rsid w:val="765834E9"/>
    <w:rsid w:val="766948B0"/>
    <w:rsid w:val="766C44F4"/>
    <w:rsid w:val="766D53BF"/>
    <w:rsid w:val="767107D4"/>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5A54FA"/>
    <w:rsid w:val="77656769"/>
    <w:rsid w:val="77686C7A"/>
    <w:rsid w:val="77753257"/>
    <w:rsid w:val="77766C2B"/>
    <w:rsid w:val="77891E89"/>
    <w:rsid w:val="779338FF"/>
    <w:rsid w:val="77935380"/>
    <w:rsid w:val="779D3992"/>
    <w:rsid w:val="77A16874"/>
    <w:rsid w:val="77A67B1B"/>
    <w:rsid w:val="77B135B8"/>
    <w:rsid w:val="77B51B62"/>
    <w:rsid w:val="77C22CB8"/>
    <w:rsid w:val="77C31373"/>
    <w:rsid w:val="77C93714"/>
    <w:rsid w:val="77CB403E"/>
    <w:rsid w:val="77D2224F"/>
    <w:rsid w:val="77DB7463"/>
    <w:rsid w:val="77EE2F50"/>
    <w:rsid w:val="77EF6D1F"/>
    <w:rsid w:val="77F07FBB"/>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B23C5C"/>
    <w:rsid w:val="78B75C8E"/>
    <w:rsid w:val="78C110E2"/>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8297F"/>
    <w:rsid w:val="79793994"/>
    <w:rsid w:val="797B4475"/>
    <w:rsid w:val="79825A8B"/>
    <w:rsid w:val="79B7133F"/>
    <w:rsid w:val="79B963A4"/>
    <w:rsid w:val="79BA2F94"/>
    <w:rsid w:val="79BC264E"/>
    <w:rsid w:val="79C76293"/>
    <w:rsid w:val="79DD3FF8"/>
    <w:rsid w:val="79E57E94"/>
    <w:rsid w:val="79E6205E"/>
    <w:rsid w:val="79E67EB2"/>
    <w:rsid w:val="79E72FBE"/>
    <w:rsid w:val="79E7444C"/>
    <w:rsid w:val="79EC67AF"/>
    <w:rsid w:val="79EE7B9C"/>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C21C2"/>
    <w:rsid w:val="7A767354"/>
    <w:rsid w:val="7A7A523B"/>
    <w:rsid w:val="7A8242B4"/>
    <w:rsid w:val="7A845059"/>
    <w:rsid w:val="7A8C4073"/>
    <w:rsid w:val="7A9D6337"/>
    <w:rsid w:val="7AA00320"/>
    <w:rsid w:val="7AA33F9C"/>
    <w:rsid w:val="7AA34E89"/>
    <w:rsid w:val="7AA444FF"/>
    <w:rsid w:val="7AA924EB"/>
    <w:rsid w:val="7AAE73F4"/>
    <w:rsid w:val="7AB1224E"/>
    <w:rsid w:val="7AB631A8"/>
    <w:rsid w:val="7ABA2E49"/>
    <w:rsid w:val="7ABE2243"/>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F12C1D"/>
    <w:rsid w:val="7BF14DF9"/>
    <w:rsid w:val="7BF16B67"/>
    <w:rsid w:val="7BF417C7"/>
    <w:rsid w:val="7C0E462A"/>
    <w:rsid w:val="7C0F60D8"/>
    <w:rsid w:val="7C194153"/>
    <w:rsid w:val="7C1C5BF5"/>
    <w:rsid w:val="7C266365"/>
    <w:rsid w:val="7C2B192C"/>
    <w:rsid w:val="7C2F62FC"/>
    <w:rsid w:val="7C421DBA"/>
    <w:rsid w:val="7C451D10"/>
    <w:rsid w:val="7C485D6C"/>
    <w:rsid w:val="7C4B3831"/>
    <w:rsid w:val="7C504CDB"/>
    <w:rsid w:val="7C5846F0"/>
    <w:rsid w:val="7C6B4DF6"/>
    <w:rsid w:val="7C6D370B"/>
    <w:rsid w:val="7C6E0DB4"/>
    <w:rsid w:val="7C745B15"/>
    <w:rsid w:val="7C7F1521"/>
    <w:rsid w:val="7C7F3842"/>
    <w:rsid w:val="7C956A9F"/>
    <w:rsid w:val="7C9952E7"/>
    <w:rsid w:val="7C9C0351"/>
    <w:rsid w:val="7C9F2FB0"/>
    <w:rsid w:val="7CA02A08"/>
    <w:rsid w:val="7CAF279A"/>
    <w:rsid w:val="7CB62F86"/>
    <w:rsid w:val="7CDC2354"/>
    <w:rsid w:val="7CE84DF9"/>
    <w:rsid w:val="7CF27393"/>
    <w:rsid w:val="7CF56037"/>
    <w:rsid w:val="7CFC12D6"/>
    <w:rsid w:val="7CFF3642"/>
    <w:rsid w:val="7CFF747B"/>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66D82"/>
    <w:rsid w:val="7DB64F6F"/>
    <w:rsid w:val="7DCD7AF7"/>
    <w:rsid w:val="7DDB4B77"/>
    <w:rsid w:val="7DE844D5"/>
    <w:rsid w:val="7DF30062"/>
    <w:rsid w:val="7DF37C1A"/>
    <w:rsid w:val="7DF801A0"/>
    <w:rsid w:val="7DF87DEB"/>
    <w:rsid w:val="7E0A2072"/>
    <w:rsid w:val="7E332130"/>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134"/>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23"/>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pPr>
    <w:rPr>
      <w:rFonts w:eastAsia="MS Mincho"/>
      <w:b/>
      <w:szCs w:val="24"/>
      <w:lang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tabs>
        <w:tab w:val="left" w:pos="1080"/>
      </w:tabs>
      <w:spacing w:line="480" w:lineRule="auto"/>
    </w:pPr>
    <w:rPr>
      <w:sz w:val="24"/>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23"/>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23"/>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rPr>
      <w:rFonts w:eastAsia="宋体"/>
      <w:lang w:val="en-GB" w:eastAsia="en-US" w:bidi="ar-SA"/>
    </w:rPr>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6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67">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2448</Words>
  <Characters>13957</Characters>
  <Lines>116</Lines>
  <Paragraphs>32</Paragraphs>
  <TotalTime>25</TotalTime>
  <ScaleCrop>false</ScaleCrop>
  <LinksUpToDate>false</LinksUpToDate>
  <CharactersWithSpaces>16373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2023-02-11T14:08:00Z</dcterms:created>
  <dc:creator>ZTE</dc:creator>
  <cp:lastModifiedBy>ZTE</cp:lastModifiedBy>
  <cp:lastPrinted>2009-04-22T01:01:00Z</cp:lastPrinted>
  <dcterms:modified xsi:type="dcterms:W3CDTF">2023-08-11T07:55:26Z</dcterms:modified>
  <dc:title>3GPP TSG-RAN WG2</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y fmtid="{D5CDD505-2E9C-101B-9397-08002B2CF9AE}" pid="7" name="ICV">
    <vt:lpwstr>9136084C1672475490785C6C0DEADB7E</vt:lpwstr>
  </property>
</Properties>
</file>